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777" w:rsidRPr="00D67EF5" w:rsidRDefault="009A23C5" w:rsidP="00C242C7">
      <w:pPr>
        <w:jc w:val="center"/>
        <w:rPr>
          <w:b/>
        </w:rPr>
      </w:pPr>
      <w:r>
        <w:rPr>
          <w:b/>
          <w:sz w:val="24"/>
          <w:szCs w:val="24"/>
        </w:rPr>
        <w:t xml:space="preserve">Commercial Bank </w:t>
      </w:r>
      <w:r w:rsidR="00C242C7" w:rsidRPr="00D67EF5">
        <w:rPr>
          <w:b/>
          <w:sz w:val="24"/>
          <w:szCs w:val="24"/>
        </w:rPr>
        <w:t xml:space="preserve">Valuation Case Study: </w:t>
      </w:r>
      <w:r>
        <w:rPr>
          <w:b/>
          <w:sz w:val="24"/>
          <w:szCs w:val="24"/>
        </w:rPr>
        <w:t xml:space="preserve">Shawbrook [SHAW] </w:t>
      </w:r>
      <w:r w:rsidR="00B01AEC">
        <w:rPr>
          <w:b/>
          <w:sz w:val="24"/>
          <w:szCs w:val="24"/>
        </w:rPr>
        <w:t>Detailed Stock Pitch</w:t>
      </w:r>
    </w:p>
    <w:p w:rsidR="00B01AEC" w:rsidRPr="007D08AD" w:rsidRDefault="00B01AEC" w:rsidP="00B01AEC">
      <w:pPr>
        <w:rPr>
          <w:sz w:val="24"/>
          <w:szCs w:val="24"/>
        </w:rPr>
      </w:pPr>
      <w:r w:rsidRPr="007D08AD">
        <w:rPr>
          <w:sz w:val="24"/>
          <w:szCs w:val="24"/>
        </w:rPr>
        <w:t xml:space="preserve">Note that this is a </w:t>
      </w:r>
      <w:r w:rsidRPr="00DA31F1">
        <w:rPr>
          <w:b/>
          <w:sz w:val="24"/>
          <w:szCs w:val="24"/>
        </w:rPr>
        <w:t>lengthy</w:t>
      </w:r>
      <w:r w:rsidRPr="007D08AD">
        <w:rPr>
          <w:sz w:val="24"/>
          <w:szCs w:val="24"/>
        </w:rPr>
        <w:t xml:space="preserve"> pitch and is not something you would </w:t>
      </w:r>
      <w:r>
        <w:rPr>
          <w:sz w:val="24"/>
          <w:szCs w:val="24"/>
        </w:rPr>
        <w:t xml:space="preserve">recite </w:t>
      </w:r>
      <w:r w:rsidRPr="007D08AD">
        <w:rPr>
          <w:sz w:val="24"/>
          <w:szCs w:val="24"/>
        </w:rPr>
        <w:t>in response</w:t>
      </w:r>
      <w:r>
        <w:rPr>
          <w:sz w:val="24"/>
          <w:szCs w:val="24"/>
        </w:rPr>
        <w:t xml:space="preserve"> to a simple interview </w:t>
      </w:r>
      <w:r w:rsidRPr="00510981">
        <w:rPr>
          <w:noProof/>
          <w:sz w:val="24"/>
          <w:szCs w:val="24"/>
        </w:rPr>
        <w:t>question</w:t>
      </w:r>
      <w:r>
        <w:rPr>
          <w:sz w:val="24"/>
          <w:szCs w:val="24"/>
        </w:rPr>
        <w:t xml:space="preserve"> </w:t>
      </w:r>
      <w:r w:rsidRPr="007D08AD">
        <w:rPr>
          <w:sz w:val="24"/>
          <w:szCs w:val="24"/>
        </w:rPr>
        <w:t xml:space="preserve">unless the whole interview </w:t>
      </w:r>
      <w:r>
        <w:rPr>
          <w:sz w:val="24"/>
          <w:szCs w:val="24"/>
        </w:rPr>
        <w:t xml:space="preserve">is </w:t>
      </w:r>
      <w:r w:rsidRPr="007D08AD">
        <w:rPr>
          <w:sz w:val="24"/>
          <w:szCs w:val="24"/>
        </w:rPr>
        <w:t xml:space="preserve">an extended discussion of </w:t>
      </w:r>
      <w:r>
        <w:rPr>
          <w:sz w:val="24"/>
          <w:szCs w:val="24"/>
        </w:rPr>
        <w:t>the company</w:t>
      </w:r>
      <w:r w:rsidRPr="007D08AD">
        <w:rPr>
          <w:sz w:val="24"/>
          <w:szCs w:val="24"/>
        </w:rPr>
        <w:t>.</w:t>
      </w:r>
    </w:p>
    <w:p w:rsidR="00B01AEC" w:rsidRPr="00B01AEC" w:rsidRDefault="00B01AEC" w:rsidP="00F52AE5">
      <w:pPr>
        <w:rPr>
          <w:sz w:val="24"/>
          <w:szCs w:val="24"/>
        </w:rPr>
      </w:pPr>
      <w:r w:rsidRPr="00510981">
        <w:rPr>
          <w:noProof/>
          <w:sz w:val="24"/>
          <w:szCs w:val="24"/>
        </w:rPr>
        <w:t xml:space="preserve">This </w:t>
      </w:r>
      <w:r w:rsidR="00510981" w:rsidRPr="00510981">
        <w:rPr>
          <w:noProof/>
          <w:sz w:val="24"/>
          <w:szCs w:val="24"/>
        </w:rPr>
        <w:t xml:space="preserve">example </w:t>
      </w:r>
      <w:r w:rsidRPr="00510981">
        <w:rPr>
          <w:noProof/>
          <w:sz w:val="24"/>
          <w:szCs w:val="24"/>
        </w:rPr>
        <w:t>is more appropriate for a formal presentation of a stock pitch or case study</w:t>
      </w:r>
      <w:r w:rsidR="00B7245B" w:rsidRPr="00510981">
        <w:rPr>
          <w:noProof/>
          <w:sz w:val="24"/>
          <w:szCs w:val="24"/>
        </w:rPr>
        <w:t>.</w:t>
      </w:r>
    </w:p>
    <w:p w:rsidR="000779C8" w:rsidRPr="00AD5932" w:rsidRDefault="00AE0CF8" w:rsidP="00F52AE5">
      <w:pPr>
        <w:rPr>
          <w:sz w:val="24"/>
          <w:szCs w:val="24"/>
        </w:rPr>
      </w:pPr>
      <w:r>
        <w:rPr>
          <w:b/>
          <w:sz w:val="24"/>
          <w:szCs w:val="24"/>
        </w:rPr>
        <w:t xml:space="preserve">NOTES AND </w:t>
      </w:r>
      <w:r w:rsidR="00A63F16" w:rsidRPr="00AD5932">
        <w:rPr>
          <w:b/>
          <w:sz w:val="24"/>
          <w:szCs w:val="24"/>
        </w:rPr>
        <w:t>DISCLAIMER</w:t>
      </w:r>
      <w:r>
        <w:rPr>
          <w:b/>
          <w:sz w:val="24"/>
          <w:szCs w:val="24"/>
        </w:rPr>
        <w:t>S</w:t>
      </w:r>
      <w:r w:rsidR="000779C8" w:rsidRPr="00AD5932">
        <w:rPr>
          <w:b/>
          <w:sz w:val="24"/>
          <w:szCs w:val="24"/>
        </w:rPr>
        <w:t>:</w:t>
      </w:r>
    </w:p>
    <w:p w:rsidR="00A63F16" w:rsidRPr="00AD5932" w:rsidRDefault="00B2039B">
      <w:pPr>
        <w:rPr>
          <w:sz w:val="24"/>
          <w:szCs w:val="24"/>
        </w:rPr>
      </w:pPr>
      <w:r>
        <w:rPr>
          <w:sz w:val="24"/>
          <w:szCs w:val="24"/>
        </w:rPr>
        <w:t>P</w:t>
      </w:r>
      <w:r w:rsidR="000779C8" w:rsidRPr="00AD5932">
        <w:rPr>
          <w:sz w:val="24"/>
          <w:szCs w:val="24"/>
        </w:rPr>
        <w:t xml:space="preserve">lease do not construe this </w:t>
      </w:r>
      <w:r w:rsidR="00B7245B">
        <w:rPr>
          <w:sz w:val="24"/>
          <w:szCs w:val="24"/>
        </w:rPr>
        <w:t xml:space="preserve">document </w:t>
      </w:r>
      <w:r w:rsidR="000779C8" w:rsidRPr="00AD5932">
        <w:rPr>
          <w:sz w:val="24"/>
          <w:szCs w:val="24"/>
        </w:rPr>
        <w:t xml:space="preserve">as “investment advice.” </w:t>
      </w:r>
      <w:r w:rsidR="00693FF3" w:rsidRPr="00AD5932">
        <w:rPr>
          <w:sz w:val="24"/>
          <w:szCs w:val="24"/>
        </w:rPr>
        <w:t>We are</w:t>
      </w:r>
      <w:r w:rsidR="000779C8" w:rsidRPr="00AD5932">
        <w:rPr>
          <w:sz w:val="24"/>
          <w:szCs w:val="24"/>
        </w:rPr>
        <w:t xml:space="preserve"> </w:t>
      </w:r>
      <w:r w:rsidR="000779C8" w:rsidRPr="00AD5932">
        <w:rPr>
          <w:b/>
          <w:sz w:val="24"/>
          <w:szCs w:val="24"/>
        </w:rPr>
        <w:t>NOT</w:t>
      </w:r>
      <w:r w:rsidR="000779C8" w:rsidRPr="00AD5932">
        <w:rPr>
          <w:sz w:val="24"/>
          <w:szCs w:val="24"/>
        </w:rPr>
        <w:t xml:space="preserve"> recommending that you invest in any of the</w:t>
      </w:r>
      <w:r w:rsidR="00A63F16" w:rsidRPr="00AD5932">
        <w:rPr>
          <w:sz w:val="24"/>
          <w:szCs w:val="24"/>
        </w:rPr>
        <w:t xml:space="preserve"> companies discussed here.</w:t>
      </w:r>
    </w:p>
    <w:p w:rsidR="000779C8" w:rsidRPr="00AD5932" w:rsidRDefault="000779C8">
      <w:pPr>
        <w:rPr>
          <w:sz w:val="24"/>
          <w:szCs w:val="24"/>
        </w:rPr>
      </w:pPr>
      <w:r w:rsidRPr="00510981">
        <w:rPr>
          <w:noProof/>
          <w:sz w:val="24"/>
          <w:szCs w:val="24"/>
        </w:rPr>
        <w:t>This</w:t>
      </w:r>
      <w:r w:rsidR="00510981" w:rsidRPr="00510981">
        <w:rPr>
          <w:noProof/>
          <w:sz w:val="24"/>
          <w:szCs w:val="24"/>
        </w:rPr>
        <w:t xml:space="preserve"> do</w:t>
      </w:r>
      <w:r w:rsidR="00510981">
        <w:rPr>
          <w:noProof/>
          <w:sz w:val="24"/>
          <w:szCs w:val="24"/>
        </w:rPr>
        <w:t>cument</w:t>
      </w:r>
      <w:r w:rsidRPr="00510981">
        <w:rPr>
          <w:noProof/>
          <w:sz w:val="24"/>
          <w:szCs w:val="24"/>
        </w:rPr>
        <w:t xml:space="preserve"> is</w:t>
      </w:r>
      <w:r w:rsidRPr="00AD5932">
        <w:rPr>
          <w:sz w:val="24"/>
          <w:szCs w:val="24"/>
        </w:rPr>
        <w:t xml:space="preserve"> a tutorial about how to </w:t>
      </w:r>
      <w:r w:rsidRPr="00AD5932">
        <w:rPr>
          <w:i/>
          <w:sz w:val="24"/>
          <w:szCs w:val="24"/>
        </w:rPr>
        <w:t>research</w:t>
      </w:r>
      <w:r w:rsidRPr="00AD5932">
        <w:rPr>
          <w:sz w:val="24"/>
          <w:szCs w:val="24"/>
        </w:rPr>
        <w:t xml:space="preserve"> and </w:t>
      </w:r>
      <w:r w:rsidR="00C12901" w:rsidRPr="00AD5932">
        <w:rPr>
          <w:i/>
          <w:sz w:val="24"/>
          <w:szCs w:val="24"/>
        </w:rPr>
        <w:t>pitch</w:t>
      </w:r>
      <w:r w:rsidRPr="00AD5932">
        <w:rPr>
          <w:sz w:val="24"/>
          <w:szCs w:val="24"/>
        </w:rPr>
        <w:t xml:space="preserve"> companies that you think are interesting, and how to use what </w:t>
      </w:r>
      <w:r w:rsidR="00A63F16" w:rsidRPr="00AD5932">
        <w:rPr>
          <w:sz w:val="24"/>
          <w:szCs w:val="24"/>
        </w:rPr>
        <w:t xml:space="preserve">you’ve </w:t>
      </w:r>
      <w:r w:rsidR="0083141C" w:rsidRPr="00AD5932">
        <w:rPr>
          <w:sz w:val="24"/>
          <w:szCs w:val="24"/>
        </w:rPr>
        <w:t>learned</w:t>
      </w:r>
      <w:r w:rsidRPr="00AD5932">
        <w:rPr>
          <w:sz w:val="24"/>
          <w:szCs w:val="24"/>
        </w:rPr>
        <w:t xml:space="preserve"> </w:t>
      </w:r>
      <w:r w:rsidR="00A63F16" w:rsidRPr="00AD5932">
        <w:rPr>
          <w:sz w:val="24"/>
          <w:szCs w:val="24"/>
        </w:rPr>
        <w:t xml:space="preserve">in this </w:t>
      </w:r>
      <w:r w:rsidR="00B7245B">
        <w:rPr>
          <w:sz w:val="24"/>
          <w:szCs w:val="24"/>
        </w:rPr>
        <w:t xml:space="preserve">financial </w:t>
      </w:r>
      <w:r w:rsidR="00A63F16" w:rsidRPr="00AD5932">
        <w:rPr>
          <w:sz w:val="24"/>
          <w:szCs w:val="24"/>
        </w:rPr>
        <w:t>modeling course</w:t>
      </w:r>
      <w:r w:rsidRPr="00AD5932">
        <w:rPr>
          <w:sz w:val="24"/>
          <w:szCs w:val="24"/>
        </w:rPr>
        <w:t xml:space="preserve"> t</w:t>
      </w:r>
      <w:r w:rsidR="00C12901" w:rsidRPr="00AD5932">
        <w:rPr>
          <w:sz w:val="24"/>
          <w:szCs w:val="24"/>
        </w:rPr>
        <w:t>o</w:t>
      </w:r>
      <w:r w:rsidRPr="00AD5932">
        <w:rPr>
          <w:sz w:val="24"/>
          <w:szCs w:val="24"/>
        </w:rPr>
        <w:t xml:space="preserve"> support your arguments.</w:t>
      </w:r>
    </w:p>
    <w:p w:rsidR="009B1180" w:rsidRPr="00AD5932" w:rsidRDefault="009B1180">
      <w:pPr>
        <w:rPr>
          <w:sz w:val="24"/>
          <w:szCs w:val="24"/>
        </w:rPr>
      </w:pPr>
      <w:bookmarkStart w:id="0" w:name="Top"/>
      <w:bookmarkEnd w:id="0"/>
      <w:r w:rsidRPr="00AD5932">
        <w:rPr>
          <w:b/>
          <w:sz w:val="24"/>
          <w:szCs w:val="24"/>
        </w:rPr>
        <w:t>Table of Contents:</w:t>
      </w:r>
    </w:p>
    <w:p w:rsidR="00AE0CF8" w:rsidRDefault="00CA70EF" w:rsidP="00945C5F">
      <w:pPr>
        <w:pStyle w:val="ListParagraph"/>
        <w:numPr>
          <w:ilvl w:val="0"/>
          <w:numId w:val="1"/>
        </w:numPr>
        <w:rPr>
          <w:sz w:val="24"/>
          <w:szCs w:val="24"/>
        </w:rPr>
      </w:pPr>
      <w:hyperlink w:anchor="Recommendation" w:history="1">
        <w:r w:rsidR="00B01AEC" w:rsidRPr="00EA1047">
          <w:rPr>
            <w:rStyle w:val="Hyperlink"/>
            <w:sz w:val="24"/>
            <w:szCs w:val="24"/>
          </w:rPr>
          <w:t>Recommendation</w:t>
        </w:r>
      </w:hyperlink>
    </w:p>
    <w:p w:rsidR="00B01AEC" w:rsidRDefault="00CA70EF" w:rsidP="00945C5F">
      <w:pPr>
        <w:pStyle w:val="ListParagraph"/>
        <w:numPr>
          <w:ilvl w:val="0"/>
          <w:numId w:val="1"/>
        </w:numPr>
        <w:rPr>
          <w:sz w:val="24"/>
          <w:szCs w:val="24"/>
        </w:rPr>
      </w:pPr>
      <w:hyperlink w:anchor="CompanyBackground" w:history="1">
        <w:r w:rsidR="00B2039B" w:rsidRPr="00EA1047">
          <w:rPr>
            <w:rStyle w:val="Hyperlink"/>
            <w:sz w:val="24"/>
            <w:szCs w:val="24"/>
          </w:rPr>
          <w:t>Company Background</w:t>
        </w:r>
      </w:hyperlink>
    </w:p>
    <w:p w:rsidR="00B2039B" w:rsidRDefault="00CA70EF" w:rsidP="00945C5F">
      <w:pPr>
        <w:pStyle w:val="ListParagraph"/>
        <w:numPr>
          <w:ilvl w:val="0"/>
          <w:numId w:val="1"/>
        </w:numPr>
        <w:rPr>
          <w:sz w:val="24"/>
          <w:szCs w:val="24"/>
        </w:rPr>
      </w:pPr>
      <w:hyperlink w:anchor="InvestmentThesis" w:history="1">
        <w:r w:rsidR="00B2039B" w:rsidRPr="00EA1047">
          <w:rPr>
            <w:rStyle w:val="Hyperlink"/>
            <w:sz w:val="24"/>
            <w:szCs w:val="24"/>
          </w:rPr>
          <w:t>Investment Thesis</w:t>
        </w:r>
      </w:hyperlink>
    </w:p>
    <w:p w:rsidR="00B2039B" w:rsidRDefault="00CA70EF" w:rsidP="00945C5F">
      <w:pPr>
        <w:pStyle w:val="ListParagraph"/>
        <w:numPr>
          <w:ilvl w:val="0"/>
          <w:numId w:val="1"/>
        </w:numPr>
        <w:rPr>
          <w:sz w:val="24"/>
          <w:szCs w:val="24"/>
        </w:rPr>
      </w:pPr>
      <w:hyperlink w:anchor="Catalysts" w:history="1">
        <w:r w:rsidR="00EA1047" w:rsidRPr="00EA1047">
          <w:rPr>
            <w:rStyle w:val="Hyperlink"/>
            <w:sz w:val="24"/>
            <w:szCs w:val="24"/>
          </w:rPr>
          <w:t>Catalysts</w:t>
        </w:r>
      </w:hyperlink>
    </w:p>
    <w:p w:rsidR="00EA1047" w:rsidRDefault="00CA70EF" w:rsidP="00945C5F">
      <w:pPr>
        <w:pStyle w:val="ListParagraph"/>
        <w:numPr>
          <w:ilvl w:val="0"/>
          <w:numId w:val="1"/>
        </w:numPr>
        <w:rPr>
          <w:sz w:val="24"/>
          <w:szCs w:val="24"/>
        </w:rPr>
      </w:pPr>
      <w:hyperlink w:anchor="Valuation" w:history="1">
        <w:r w:rsidR="00EA1047" w:rsidRPr="00EA1047">
          <w:rPr>
            <w:rStyle w:val="Hyperlink"/>
            <w:sz w:val="24"/>
            <w:szCs w:val="24"/>
          </w:rPr>
          <w:t>Valuation</w:t>
        </w:r>
      </w:hyperlink>
    </w:p>
    <w:p w:rsidR="00EA1047" w:rsidRDefault="00CA70EF" w:rsidP="00945C5F">
      <w:pPr>
        <w:pStyle w:val="ListParagraph"/>
        <w:numPr>
          <w:ilvl w:val="1"/>
          <w:numId w:val="1"/>
        </w:numPr>
        <w:rPr>
          <w:sz w:val="24"/>
          <w:szCs w:val="24"/>
        </w:rPr>
      </w:pPr>
      <w:hyperlink w:anchor="PublicComps" w:history="1">
        <w:r w:rsidR="00EA1047" w:rsidRPr="00EA1047">
          <w:rPr>
            <w:rStyle w:val="Hyperlink"/>
            <w:sz w:val="24"/>
            <w:szCs w:val="24"/>
          </w:rPr>
          <w:t>Comparable Public Companies</w:t>
        </w:r>
      </w:hyperlink>
    </w:p>
    <w:p w:rsidR="00EA1047" w:rsidRDefault="00CA70EF" w:rsidP="00945C5F">
      <w:pPr>
        <w:pStyle w:val="ListParagraph"/>
        <w:numPr>
          <w:ilvl w:val="1"/>
          <w:numId w:val="1"/>
        </w:numPr>
        <w:rPr>
          <w:sz w:val="24"/>
          <w:szCs w:val="24"/>
        </w:rPr>
      </w:pPr>
      <w:hyperlink w:anchor="PrecedentTransactions" w:history="1">
        <w:r w:rsidR="00EA1047" w:rsidRPr="00EA1047">
          <w:rPr>
            <w:rStyle w:val="Hyperlink"/>
            <w:sz w:val="24"/>
            <w:szCs w:val="24"/>
          </w:rPr>
          <w:t>Precedent Transactions</w:t>
        </w:r>
      </w:hyperlink>
    </w:p>
    <w:p w:rsidR="00B65D4E" w:rsidRPr="00B65D4E" w:rsidRDefault="00CA70EF" w:rsidP="00945C5F">
      <w:pPr>
        <w:pStyle w:val="ListParagraph"/>
        <w:numPr>
          <w:ilvl w:val="1"/>
          <w:numId w:val="1"/>
        </w:numPr>
        <w:rPr>
          <w:rStyle w:val="Hyperlink"/>
          <w:color w:val="auto"/>
          <w:sz w:val="24"/>
          <w:szCs w:val="24"/>
          <w:u w:val="none"/>
        </w:rPr>
      </w:pPr>
      <w:hyperlink w:anchor="DDM" w:history="1">
        <w:r w:rsidR="00B65D4E">
          <w:rPr>
            <w:rStyle w:val="Hyperlink"/>
            <w:sz w:val="24"/>
            <w:szCs w:val="24"/>
          </w:rPr>
          <w:t>Dividend Discount Model (DDM)</w:t>
        </w:r>
      </w:hyperlink>
    </w:p>
    <w:p w:rsidR="00B65D4E" w:rsidRDefault="00CA70EF" w:rsidP="00945C5F">
      <w:pPr>
        <w:pStyle w:val="ListParagraph"/>
        <w:numPr>
          <w:ilvl w:val="1"/>
          <w:numId w:val="1"/>
        </w:numPr>
        <w:rPr>
          <w:sz w:val="24"/>
          <w:szCs w:val="24"/>
        </w:rPr>
      </w:pPr>
      <w:hyperlink w:anchor="ResInc" w:history="1">
        <w:r w:rsidR="00B65D4E" w:rsidRPr="00B65D4E">
          <w:rPr>
            <w:rStyle w:val="Hyperlink"/>
            <w:sz w:val="24"/>
            <w:szCs w:val="24"/>
          </w:rPr>
          <w:t>Residual Income Model</w:t>
        </w:r>
      </w:hyperlink>
    </w:p>
    <w:p w:rsidR="00EA1047" w:rsidRDefault="00CA70EF" w:rsidP="00945C5F">
      <w:pPr>
        <w:pStyle w:val="ListParagraph"/>
        <w:numPr>
          <w:ilvl w:val="1"/>
          <w:numId w:val="1"/>
        </w:numPr>
        <w:rPr>
          <w:sz w:val="24"/>
          <w:szCs w:val="24"/>
        </w:rPr>
      </w:pPr>
      <w:hyperlink w:anchor="Regression" w:history="1">
        <w:r w:rsidR="00B65D4E" w:rsidRPr="00B65D4E">
          <w:rPr>
            <w:rStyle w:val="Hyperlink"/>
            <w:sz w:val="24"/>
            <w:szCs w:val="24"/>
          </w:rPr>
          <w:t>Regression Analysis</w:t>
        </w:r>
      </w:hyperlink>
      <w:r w:rsidR="00B65D4E">
        <w:rPr>
          <w:sz w:val="24"/>
          <w:szCs w:val="24"/>
        </w:rPr>
        <w:t xml:space="preserve"> </w:t>
      </w:r>
    </w:p>
    <w:p w:rsidR="00EA1047" w:rsidRPr="00EA1047" w:rsidRDefault="00EA1047" w:rsidP="00945C5F">
      <w:pPr>
        <w:pStyle w:val="ListParagraph"/>
        <w:numPr>
          <w:ilvl w:val="0"/>
          <w:numId w:val="1"/>
        </w:numPr>
        <w:rPr>
          <w:rStyle w:val="Hyperlink"/>
          <w:sz w:val="24"/>
          <w:szCs w:val="24"/>
        </w:rPr>
      </w:pPr>
      <w:r>
        <w:rPr>
          <w:sz w:val="24"/>
          <w:szCs w:val="24"/>
        </w:rPr>
        <w:fldChar w:fldCharType="begin"/>
      </w:r>
      <w:r>
        <w:rPr>
          <w:sz w:val="24"/>
          <w:szCs w:val="24"/>
        </w:rPr>
        <w:instrText xml:space="preserve"> HYPERLINK  \l "InvestmentRisks" </w:instrText>
      </w:r>
      <w:r>
        <w:rPr>
          <w:sz w:val="24"/>
          <w:szCs w:val="24"/>
        </w:rPr>
        <w:fldChar w:fldCharType="separate"/>
      </w:r>
      <w:r w:rsidRPr="00EA1047">
        <w:rPr>
          <w:rStyle w:val="Hyperlink"/>
          <w:sz w:val="24"/>
          <w:szCs w:val="24"/>
        </w:rPr>
        <w:t>Investment Risks</w:t>
      </w:r>
    </w:p>
    <w:p w:rsidR="002F7746" w:rsidRDefault="00EA1047" w:rsidP="00EA1047">
      <w:pPr>
        <w:rPr>
          <w:sz w:val="24"/>
          <w:szCs w:val="24"/>
        </w:rPr>
      </w:pPr>
      <w:r>
        <w:rPr>
          <w:sz w:val="24"/>
          <w:szCs w:val="24"/>
        </w:rPr>
        <w:fldChar w:fldCharType="end"/>
      </w:r>
    </w:p>
    <w:p w:rsidR="00EA1047" w:rsidRDefault="00EA1047" w:rsidP="00EA1047">
      <w:pPr>
        <w:rPr>
          <w:sz w:val="24"/>
          <w:szCs w:val="24"/>
        </w:rPr>
      </w:pPr>
    </w:p>
    <w:p w:rsidR="00EA1047" w:rsidRDefault="00EA1047" w:rsidP="00EA1047">
      <w:pPr>
        <w:rPr>
          <w:sz w:val="24"/>
          <w:szCs w:val="24"/>
        </w:rPr>
      </w:pPr>
    </w:p>
    <w:p w:rsidR="00EA1047" w:rsidRDefault="00EA1047" w:rsidP="00EA1047">
      <w:pPr>
        <w:rPr>
          <w:sz w:val="24"/>
          <w:szCs w:val="24"/>
        </w:rPr>
      </w:pPr>
    </w:p>
    <w:p w:rsidR="00EA1047" w:rsidRDefault="00EA1047" w:rsidP="00EA1047">
      <w:pPr>
        <w:rPr>
          <w:sz w:val="24"/>
          <w:szCs w:val="24"/>
        </w:rPr>
      </w:pPr>
    </w:p>
    <w:p w:rsidR="00B01AEC" w:rsidRPr="007F06BA" w:rsidRDefault="00B01AEC" w:rsidP="00B01AEC">
      <w:pPr>
        <w:rPr>
          <w:b/>
          <w:sz w:val="24"/>
          <w:szCs w:val="24"/>
        </w:rPr>
      </w:pPr>
      <w:r w:rsidRPr="007F06BA">
        <w:rPr>
          <w:b/>
          <w:sz w:val="24"/>
          <w:szCs w:val="24"/>
        </w:rPr>
        <w:lastRenderedPageBreak/>
        <w:t xml:space="preserve">Stock Pitch – </w:t>
      </w:r>
      <w:r w:rsidR="009A23C5">
        <w:rPr>
          <w:b/>
          <w:sz w:val="24"/>
          <w:szCs w:val="24"/>
        </w:rPr>
        <w:t xml:space="preserve">SHORT </w:t>
      </w:r>
      <w:r w:rsidRPr="007F06BA">
        <w:rPr>
          <w:b/>
          <w:sz w:val="24"/>
          <w:szCs w:val="24"/>
        </w:rPr>
        <w:t xml:space="preserve">Recommendation for </w:t>
      </w:r>
      <w:r w:rsidR="009A23C5">
        <w:rPr>
          <w:b/>
          <w:sz w:val="24"/>
          <w:szCs w:val="24"/>
        </w:rPr>
        <w:t>Shawbrook [SHAW]</w:t>
      </w:r>
    </w:p>
    <w:p w:rsidR="00B01AEC" w:rsidRPr="007F06BA" w:rsidRDefault="00B01AEC" w:rsidP="00B01AEC">
      <w:pPr>
        <w:pBdr>
          <w:bottom w:val="single" w:sz="6" w:space="1" w:color="auto"/>
        </w:pBdr>
        <w:rPr>
          <w:b/>
          <w:sz w:val="24"/>
          <w:szCs w:val="24"/>
        </w:rPr>
      </w:pPr>
      <w:bookmarkStart w:id="1" w:name="Recommendation"/>
      <w:bookmarkEnd w:id="1"/>
      <w:r w:rsidRPr="007F06BA">
        <w:rPr>
          <w:b/>
          <w:sz w:val="24"/>
          <w:szCs w:val="24"/>
        </w:rPr>
        <w:t>Recommendation</w:t>
      </w:r>
    </w:p>
    <w:p w:rsidR="009A23C5" w:rsidRPr="00B772F9" w:rsidRDefault="009A23C5" w:rsidP="009A23C5">
      <w:pPr>
        <w:rPr>
          <w:sz w:val="24"/>
          <w:szCs w:val="24"/>
        </w:rPr>
      </w:pPr>
      <w:r w:rsidRPr="009A23C5">
        <w:rPr>
          <w:sz w:val="24"/>
          <w:szCs w:val="24"/>
        </w:rPr>
        <w:t xml:space="preserve">We recommend </w:t>
      </w:r>
      <w:r w:rsidR="006D0CE7">
        <w:rPr>
          <w:b/>
          <w:sz w:val="24"/>
          <w:szCs w:val="24"/>
        </w:rPr>
        <w:t>shorting</w:t>
      </w:r>
      <w:r w:rsidR="00B772F9">
        <w:rPr>
          <w:sz w:val="24"/>
          <w:szCs w:val="24"/>
        </w:rPr>
        <w:t xml:space="preserve"> Shawbrook [SHAW]</w:t>
      </w:r>
      <w:r w:rsidR="006D0CE7">
        <w:rPr>
          <w:sz w:val="24"/>
          <w:szCs w:val="24"/>
        </w:rPr>
        <w:t xml:space="preserve">, a “challenger bank” in the UK focused on buy-to-let </w:t>
      </w:r>
      <w:r w:rsidR="006D0CE7" w:rsidRPr="00510981">
        <w:rPr>
          <w:noProof/>
          <w:sz w:val="24"/>
          <w:szCs w:val="24"/>
        </w:rPr>
        <w:t>mortgages</w:t>
      </w:r>
      <w:r w:rsidR="00510981" w:rsidRPr="00510981">
        <w:rPr>
          <w:noProof/>
          <w:sz w:val="24"/>
          <w:szCs w:val="24"/>
        </w:rPr>
        <w:t>,</w:t>
      </w:r>
      <w:r w:rsidR="00B772F9">
        <w:rPr>
          <w:sz w:val="24"/>
          <w:szCs w:val="24"/>
        </w:rPr>
        <w:t xml:space="preserve"> because it’s overvalued by </w:t>
      </w:r>
      <w:r w:rsidR="00B772F9">
        <w:rPr>
          <w:b/>
          <w:sz w:val="24"/>
          <w:szCs w:val="24"/>
        </w:rPr>
        <w:t>30-50%</w:t>
      </w:r>
      <w:r w:rsidR="00B772F9">
        <w:rPr>
          <w:sz w:val="24"/>
          <w:szCs w:val="24"/>
        </w:rPr>
        <w:t xml:space="preserve"> currently and there are at least 3-4 catalysts to change its sha</w:t>
      </w:r>
      <w:r w:rsidR="00B7245B">
        <w:rPr>
          <w:sz w:val="24"/>
          <w:szCs w:val="24"/>
        </w:rPr>
        <w:t>re price in the next 12 months. T</w:t>
      </w:r>
      <w:r w:rsidR="00B772F9">
        <w:rPr>
          <w:sz w:val="24"/>
          <w:szCs w:val="24"/>
        </w:rPr>
        <w:t>he market has mispriced the company because its views of the company’s markets, asset yields, and risk weightings are all mistaken.</w:t>
      </w:r>
    </w:p>
    <w:p w:rsidR="00B772F9" w:rsidRDefault="00B772F9" w:rsidP="009A23C5">
      <w:pPr>
        <w:rPr>
          <w:sz w:val="24"/>
          <w:szCs w:val="24"/>
        </w:rPr>
      </w:pPr>
      <w:r>
        <w:rPr>
          <w:sz w:val="24"/>
          <w:szCs w:val="24"/>
        </w:rPr>
        <w:t xml:space="preserve">Currently, </w:t>
      </w:r>
      <w:r w:rsidR="00792821">
        <w:rPr>
          <w:sz w:val="24"/>
          <w:szCs w:val="24"/>
        </w:rPr>
        <w:t>the market views Shawbroo</w:t>
      </w:r>
      <w:r w:rsidR="00B7245B">
        <w:rPr>
          <w:sz w:val="24"/>
          <w:szCs w:val="24"/>
        </w:rPr>
        <w:t xml:space="preserve">k as one of the most promising challenger banks </w:t>
      </w:r>
      <w:r w:rsidR="00792821">
        <w:rPr>
          <w:sz w:val="24"/>
          <w:szCs w:val="24"/>
        </w:rPr>
        <w:t xml:space="preserve">in the UK, and its expects the company’s Gross Loans to nearly triple over the next five years, with its commercial mortgages increasing by 4x and its loan spreads </w:t>
      </w:r>
      <w:r w:rsidR="00B7245B">
        <w:rPr>
          <w:sz w:val="24"/>
          <w:szCs w:val="24"/>
        </w:rPr>
        <w:t>over</w:t>
      </w:r>
      <w:r w:rsidR="00792821">
        <w:rPr>
          <w:sz w:val="24"/>
          <w:szCs w:val="24"/>
        </w:rPr>
        <w:t xml:space="preserve"> LIBOR staying in the same range. </w:t>
      </w:r>
    </w:p>
    <w:p w:rsidR="00B772F9" w:rsidRDefault="00792821" w:rsidP="009A23C5">
      <w:pPr>
        <w:rPr>
          <w:sz w:val="24"/>
          <w:szCs w:val="24"/>
        </w:rPr>
      </w:pPr>
      <w:r>
        <w:rPr>
          <w:sz w:val="24"/>
          <w:szCs w:val="24"/>
        </w:rPr>
        <w:t xml:space="preserve">We believe this view is </w:t>
      </w:r>
      <w:r w:rsidRPr="00792821">
        <w:rPr>
          <w:b/>
          <w:sz w:val="24"/>
          <w:szCs w:val="24"/>
        </w:rPr>
        <w:t>incorrect</w:t>
      </w:r>
      <w:r>
        <w:rPr>
          <w:sz w:val="24"/>
          <w:szCs w:val="24"/>
        </w:rPr>
        <w:t xml:space="preserve"> because it implies significantly higher-than-expected GDP growth, existing buy-to-let (BTL) mortgage risk weightings staying </w:t>
      </w:r>
      <w:r w:rsidR="00B7245B">
        <w:rPr>
          <w:sz w:val="24"/>
          <w:szCs w:val="24"/>
        </w:rPr>
        <w:t>the same</w:t>
      </w:r>
      <w:r>
        <w:rPr>
          <w:sz w:val="24"/>
          <w:szCs w:val="24"/>
        </w:rPr>
        <w:t>, and no slowdown in the mortgage market, along with limited competition from other banks</w:t>
      </w:r>
      <w:r w:rsidR="00B7245B">
        <w:rPr>
          <w:sz w:val="24"/>
          <w:szCs w:val="24"/>
        </w:rPr>
        <w:t>.</w:t>
      </w:r>
    </w:p>
    <w:p w:rsidR="00792821" w:rsidRDefault="00792821" w:rsidP="009A23C5">
      <w:pPr>
        <w:rPr>
          <w:sz w:val="24"/>
          <w:szCs w:val="24"/>
        </w:rPr>
      </w:pPr>
      <w:r>
        <w:rPr>
          <w:sz w:val="24"/>
          <w:szCs w:val="24"/>
        </w:rPr>
        <w:t xml:space="preserve">Instead, we believe that the company’s loan interest spreads against LIBOR are likely to fall by ~1% over the next five years, and that its </w:t>
      </w:r>
      <w:r w:rsidR="00B7245B">
        <w:rPr>
          <w:sz w:val="24"/>
          <w:szCs w:val="24"/>
        </w:rPr>
        <w:t xml:space="preserve">entire </w:t>
      </w:r>
      <w:r>
        <w:rPr>
          <w:sz w:val="24"/>
          <w:szCs w:val="24"/>
        </w:rPr>
        <w:t xml:space="preserve">loan portfolio will increase by only 2.0x – 2.5x, with commercial mortgages increasing by only 3x. Recent regulatory and tax changes to BTL mortgages, with more </w:t>
      </w:r>
      <w:r w:rsidR="00B7245B">
        <w:rPr>
          <w:sz w:val="24"/>
          <w:szCs w:val="24"/>
        </w:rPr>
        <w:t xml:space="preserve">changes </w:t>
      </w:r>
      <w:r>
        <w:rPr>
          <w:sz w:val="24"/>
          <w:szCs w:val="24"/>
        </w:rPr>
        <w:t xml:space="preserve">expected in the future, along with an </w:t>
      </w:r>
      <w:r w:rsidRPr="00510981">
        <w:rPr>
          <w:noProof/>
          <w:sz w:val="24"/>
          <w:szCs w:val="24"/>
        </w:rPr>
        <w:t>already</w:t>
      </w:r>
      <w:r w:rsidR="00510981">
        <w:rPr>
          <w:noProof/>
          <w:sz w:val="24"/>
          <w:szCs w:val="24"/>
        </w:rPr>
        <w:t xml:space="preserve"> </w:t>
      </w:r>
      <w:r w:rsidRPr="00510981">
        <w:rPr>
          <w:noProof/>
          <w:sz w:val="24"/>
          <w:szCs w:val="24"/>
        </w:rPr>
        <w:t>slowing</w:t>
      </w:r>
      <w:r>
        <w:rPr>
          <w:sz w:val="24"/>
          <w:szCs w:val="24"/>
        </w:rPr>
        <w:t xml:space="preserve"> housing market in the UK, explain these figures.</w:t>
      </w:r>
    </w:p>
    <w:p w:rsidR="009A23C5" w:rsidRPr="009A23C5" w:rsidRDefault="009A23C5" w:rsidP="009A23C5">
      <w:pPr>
        <w:rPr>
          <w:sz w:val="24"/>
          <w:szCs w:val="24"/>
        </w:rPr>
      </w:pPr>
      <w:r w:rsidRPr="00510981">
        <w:rPr>
          <w:noProof/>
          <w:sz w:val="24"/>
          <w:szCs w:val="24"/>
        </w:rPr>
        <w:t xml:space="preserve">For the company to be significantly </w:t>
      </w:r>
      <w:r w:rsidRPr="00510981">
        <w:rPr>
          <w:i/>
          <w:noProof/>
          <w:sz w:val="24"/>
          <w:szCs w:val="24"/>
        </w:rPr>
        <w:t>undervalued</w:t>
      </w:r>
      <w:r w:rsidRPr="00510981">
        <w:rPr>
          <w:noProof/>
          <w:sz w:val="24"/>
          <w:szCs w:val="24"/>
        </w:rPr>
        <w:t xml:space="preserve">, UK GDP growth would have to exceed 3.0% over the next five years, LIBOR would have to increase from 0.23% to 1.55%, </w:t>
      </w:r>
      <w:r w:rsidR="00B7245B" w:rsidRPr="00510981">
        <w:rPr>
          <w:noProof/>
          <w:sz w:val="24"/>
          <w:szCs w:val="24"/>
        </w:rPr>
        <w:t xml:space="preserve">the company’s mortgage market share would have to be ~25% higher than expected, </w:t>
      </w:r>
      <w:r w:rsidRPr="00510981">
        <w:rPr>
          <w:noProof/>
          <w:sz w:val="24"/>
          <w:szCs w:val="24"/>
        </w:rPr>
        <w:t>and long-term ROTCE would have to exceed the company’</w:t>
      </w:r>
      <w:r w:rsidR="006D0CE7" w:rsidRPr="00510981">
        <w:rPr>
          <w:noProof/>
          <w:sz w:val="24"/>
          <w:szCs w:val="24"/>
        </w:rPr>
        <w:t>s Cost of Equity by nearly 30% (14% vs. Cost of Equity at 11%).</w:t>
      </w:r>
    </w:p>
    <w:p w:rsidR="009A23C5" w:rsidRPr="009A23C5" w:rsidRDefault="009A23C5" w:rsidP="009A23C5">
      <w:pPr>
        <w:rPr>
          <w:sz w:val="24"/>
          <w:szCs w:val="24"/>
        </w:rPr>
      </w:pPr>
      <w:r w:rsidRPr="00510981">
        <w:rPr>
          <w:noProof/>
          <w:sz w:val="24"/>
          <w:szCs w:val="24"/>
        </w:rPr>
        <w:t>With more plausible assumptions of 2.0</w:t>
      </w:r>
      <w:r w:rsidR="006D0CE7" w:rsidRPr="00510981">
        <w:rPr>
          <w:noProof/>
          <w:sz w:val="24"/>
          <w:szCs w:val="24"/>
        </w:rPr>
        <w:t>%</w:t>
      </w:r>
      <w:r w:rsidRPr="00510981">
        <w:rPr>
          <w:noProof/>
          <w:sz w:val="24"/>
          <w:szCs w:val="24"/>
        </w:rPr>
        <w:t xml:space="preserve"> – 2.5% GDP growth over the next five years, LIBOR increasing to 1.35%, </w:t>
      </w:r>
      <w:r w:rsidR="00B7245B" w:rsidRPr="00510981">
        <w:rPr>
          <w:noProof/>
          <w:sz w:val="24"/>
          <w:szCs w:val="24"/>
        </w:rPr>
        <w:t xml:space="preserve">commercial mortgage market share increasing from 0.27% to 0.80% instead of 1.00%, </w:t>
      </w:r>
      <w:r w:rsidRPr="00510981">
        <w:rPr>
          <w:noProof/>
          <w:sz w:val="24"/>
          <w:szCs w:val="24"/>
        </w:rPr>
        <w:t>and a long-term ROTCE of 12% (~10% above its Cost of Equity, and in-line with the more mature comparable banks), the</w:t>
      </w:r>
      <w:r w:rsidR="00041B94" w:rsidRPr="00510981">
        <w:rPr>
          <w:noProof/>
          <w:sz w:val="24"/>
          <w:szCs w:val="24"/>
        </w:rPr>
        <w:t xml:space="preserve"> company is </w:t>
      </w:r>
      <w:r w:rsidR="00041B94" w:rsidRPr="00510981">
        <w:rPr>
          <w:b/>
          <w:noProof/>
          <w:sz w:val="24"/>
          <w:szCs w:val="24"/>
        </w:rPr>
        <w:t>overvalued by ~30%</w:t>
      </w:r>
      <w:r w:rsidR="00041B94" w:rsidRPr="00510981">
        <w:rPr>
          <w:noProof/>
          <w:sz w:val="24"/>
          <w:szCs w:val="24"/>
        </w:rPr>
        <w:t>.</w:t>
      </w:r>
      <w:r w:rsidR="006D0CE7">
        <w:rPr>
          <w:sz w:val="24"/>
          <w:szCs w:val="24"/>
        </w:rPr>
        <w:t xml:space="preserve"> In a Downside Case with a recession and recov</w:t>
      </w:r>
      <w:r w:rsidR="00B7245B">
        <w:rPr>
          <w:sz w:val="24"/>
          <w:szCs w:val="24"/>
        </w:rPr>
        <w:t xml:space="preserve">ery and lower figures for LIBOR, loan market share, </w:t>
      </w:r>
      <w:r w:rsidR="006D0CE7">
        <w:rPr>
          <w:sz w:val="24"/>
          <w:szCs w:val="24"/>
        </w:rPr>
        <w:t xml:space="preserve">and long-term ROTCE, the company is </w:t>
      </w:r>
      <w:r w:rsidR="006D0CE7" w:rsidRPr="006D0CE7">
        <w:rPr>
          <w:b/>
          <w:sz w:val="24"/>
          <w:szCs w:val="24"/>
        </w:rPr>
        <w:t>overvalued by ~50%</w:t>
      </w:r>
      <w:r w:rsidR="006D0CE7">
        <w:rPr>
          <w:sz w:val="24"/>
          <w:szCs w:val="24"/>
        </w:rPr>
        <w:t>.</w:t>
      </w:r>
    </w:p>
    <w:p w:rsidR="009A23C5" w:rsidRPr="009A23C5" w:rsidRDefault="009A23C5" w:rsidP="009A23C5">
      <w:pPr>
        <w:rPr>
          <w:sz w:val="24"/>
          <w:szCs w:val="24"/>
        </w:rPr>
      </w:pPr>
      <w:r w:rsidRPr="009A23C5">
        <w:rPr>
          <w:sz w:val="24"/>
          <w:szCs w:val="24"/>
        </w:rPr>
        <w:lastRenderedPageBreak/>
        <w:t xml:space="preserve">Catalysts include risk weightings on BTL mortgages </w:t>
      </w:r>
      <w:r w:rsidR="006D0CE7">
        <w:rPr>
          <w:sz w:val="24"/>
          <w:szCs w:val="24"/>
        </w:rPr>
        <w:t xml:space="preserve">potentially </w:t>
      </w:r>
      <w:r w:rsidRPr="009A23C5">
        <w:rPr>
          <w:sz w:val="24"/>
          <w:szCs w:val="24"/>
        </w:rPr>
        <w:t xml:space="preserve">increasing from 35% to 90%, a slowdown in loan growth with mortgages growing only ~3x over the next five years, and a compression of loan yields by ~1% due to increased competition. The expiration of the lockup period on Pollen Street Capital’s 45% </w:t>
      </w:r>
      <w:r w:rsidR="006D0CE7">
        <w:rPr>
          <w:sz w:val="24"/>
          <w:szCs w:val="24"/>
        </w:rPr>
        <w:t xml:space="preserve">equity </w:t>
      </w:r>
      <w:r w:rsidRPr="009A23C5">
        <w:rPr>
          <w:sz w:val="24"/>
          <w:szCs w:val="24"/>
        </w:rPr>
        <w:t>s</w:t>
      </w:r>
      <w:r w:rsidR="00041B94">
        <w:rPr>
          <w:sz w:val="24"/>
          <w:szCs w:val="24"/>
        </w:rPr>
        <w:t xml:space="preserve">take </w:t>
      </w:r>
      <w:r w:rsidR="006D0CE7">
        <w:rPr>
          <w:sz w:val="24"/>
          <w:szCs w:val="24"/>
        </w:rPr>
        <w:t xml:space="preserve">in the company </w:t>
      </w:r>
      <w:r w:rsidR="00041B94">
        <w:rPr>
          <w:sz w:val="24"/>
          <w:szCs w:val="24"/>
        </w:rPr>
        <w:t>could be another catalyst.</w:t>
      </w:r>
    </w:p>
    <w:p w:rsidR="009A23C5" w:rsidRPr="009A23C5" w:rsidRDefault="009A23C5" w:rsidP="009A23C5">
      <w:pPr>
        <w:rPr>
          <w:sz w:val="24"/>
          <w:szCs w:val="24"/>
        </w:rPr>
      </w:pPr>
      <w:r w:rsidRPr="009A23C5">
        <w:rPr>
          <w:sz w:val="24"/>
          <w:szCs w:val="24"/>
        </w:rPr>
        <w:t xml:space="preserve">Investment risks include risk weightings on BTL mortgages changing by less than expected, higher-than-expected mortgage market growth or market share gains, and loan </w:t>
      </w:r>
      <w:r w:rsidR="00B7245B">
        <w:rPr>
          <w:sz w:val="24"/>
          <w:szCs w:val="24"/>
        </w:rPr>
        <w:t xml:space="preserve">interest </w:t>
      </w:r>
      <w:r w:rsidRPr="009A23C5">
        <w:rPr>
          <w:sz w:val="24"/>
          <w:szCs w:val="24"/>
        </w:rPr>
        <w:t xml:space="preserve">spreads staying the same with funding costs staying </w:t>
      </w:r>
      <w:r w:rsidR="00041B94">
        <w:rPr>
          <w:sz w:val="24"/>
          <w:szCs w:val="24"/>
        </w:rPr>
        <w:t>the same or decreasing.</w:t>
      </w:r>
    </w:p>
    <w:p w:rsidR="009A23C5" w:rsidRDefault="009A23C5" w:rsidP="00B01AEC">
      <w:pPr>
        <w:rPr>
          <w:sz w:val="24"/>
          <w:szCs w:val="24"/>
        </w:rPr>
      </w:pPr>
      <w:r w:rsidRPr="009A23C5">
        <w:rPr>
          <w:sz w:val="24"/>
          <w:szCs w:val="24"/>
        </w:rPr>
        <w:t xml:space="preserve">We </w:t>
      </w:r>
      <w:r w:rsidR="00B7245B">
        <w:rPr>
          <w:sz w:val="24"/>
          <w:szCs w:val="24"/>
        </w:rPr>
        <w:t xml:space="preserve">could </w:t>
      </w:r>
      <w:r w:rsidRPr="009A23C5">
        <w:rPr>
          <w:sz w:val="24"/>
          <w:szCs w:val="24"/>
        </w:rPr>
        <w:t>mitigate these risks with call options, a strict buy-stop order, and by lo</w:t>
      </w:r>
      <w:r>
        <w:rPr>
          <w:sz w:val="24"/>
          <w:szCs w:val="24"/>
        </w:rPr>
        <w:t>nging other banks in the sector.</w:t>
      </w:r>
    </w:p>
    <w:p w:rsidR="00EA1047" w:rsidRDefault="00CA70EF" w:rsidP="00B01AEC">
      <w:pPr>
        <w:rPr>
          <w:sz w:val="24"/>
          <w:szCs w:val="24"/>
        </w:rPr>
      </w:pPr>
      <w:hyperlink w:anchor="Top" w:history="1">
        <w:r w:rsidR="00EA1047" w:rsidRPr="00EA1047">
          <w:rPr>
            <w:rStyle w:val="Hyperlink"/>
            <w:sz w:val="24"/>
            <w:szCs w:val="24"/>
          </w:rPr>
          <w:t>Return to Top</w:t>
        </w:r>
      </w:hyperlink>
      <w:r w:rsidR="00EA1047">
        <w:rPr>
          <w:sz w:val="24"/>
          <w:szCs w:val="24"/>
        </w:rPr>
        <w:t>.</w:t>
      </w:r>
    </w:p>
    <w:p w:rsidR="00B01AEC" w:rsidRPr="001D6B9E" w:rsidRDefault="00B01AEC" w:rsidP="00B01AEC">
      <w:pPr>
        <w:pBdr>
          <w:bottom w:val="single" w:sz="6" w:space="1" w:color="auto"/>
        </w:pBdr>
        <w:rPr>
          <w:b/>
          <w:sz w:val="24"/>
          <w:szCs w:val="24"/>
        </w:rPr>
      </w:pPr>
      <w:bookmarkStart w:id="2" w:name="CompanyBackground"/>
      <w:r w:rsidRPr="001D6B9E">
        <w:rPr>
          <w:b/>
          <w:sz w:val="24"/>
          <w:szCs w:val="24"/>
        </w:rPr>
        <w:t>Company Background</w:t>
      </w:r>
    </w:p>
    <w:bookmarkEnd w:id="2"/>
    <w:p w:rsidR="00B01AEC" w:rsidRDefault="006D0CE7" w:rsidP="00B01AEC">
      <w:pPr>
        <w:rPr>
          <w:sz w:val="24"/>
          <w:szCs w:val="24"/>
        </w:rPr>
      </w:pPr>
      <w:r>
        <w:rPr>
          <w:sz w:val="24"/>
          <w:szCs w:val="24"/>
        </w:rPr>
        <w:t xml:space="preserve">Shawbrook is a UK-based “challenger bank” that specialized in SME lending and niche markets that require a </w:t>
      </w:r>
      <w:r w:rsidR="00272515">
        <w:rPr>
          <w:sz w:val="24"/>
          <w:szCs w:val="24"/>
        </w:rPr>
        <w:t xml:space="preserve">high </w:t>
      </w:r>
      <w:r>
        <w:rPr>
          <w:sz w:val="24"/>
          <w:szCs w:val="24"/>
        </w:rPr>
        <w:t xml:space="preserve">degree of manual underwriting and </w:t>
      </w:r>
      <w:r w:rsidR="00272515">
        <w:rPr>
          <w:sz w:val="24"/>
          <w:szCs w:val="24"/>
        </w:rPr>
        <w:t>customer service.</w:t>
      </w:r>
      <w:r>
        <w:rPr>
          <w:sz w:val="24"/>
          <w:szCs w:val="24"/>
        </w:rPr>
        <w:t xml:space="preserve"> </w:t>
      </w:r>
      <w:r w:rsidR="00272515">
        <w:rPr>
          <w:sz w:val="24"/>
          <w:szCs w:val="24"/>
        </w:rPr>
        <w:t>T</w:t>
      </w:r>
      <w:r>
        <w:rPr>
          <w:sz w:val="24"/>
          <w:szCs w:val="24"/>
        </w:rPr>
        <w:t>he “high street”</w:t>
      </w:r>
      <w:r w:rsidR="00272515">
        <w:rPr>
          <w:sz w:val="24"/>
          <w:szCs w:val="24"/>
        </w:rPr>
        <w:t xml:space="preserve"> banks, such as HSBC and Barclays, have underserved these segments because of increased regulation post-GFC and </w:t>
      </w:r>
      <w:r w:rsidR="00B7245B">
        <w:rPr>
          <w:sz w:val="24"/>
          <w:szCs w:val="24"/>
        </w:rPr>
        <w:t xml:space="preserve">a </w:t>
      </w:r>
      <w:r w:rsidR="00272515">
        <w:rPr>
          <w:sz w:val="24"/>
          <w:szCs w:val="24"/>
        </w:rPr>
        <w:t xml:space="preserve">poor fit with their </w:t>
      </w:r>
      <w:r w:rsidR="00B7245B">
        <w:rPr>
          <w:sz w:val="24"/>
          <w:szCs w:val="24"/>
        </w:rPr>
        <w:t xml:space="preserve">existing </w:t>
      </w:r>
      <w:r w:rsidR="00272515">
        <w:rPr>
          <w:sz w:val="24"/>
          <w:szCs w:val="24"/>
        </w:rPr>
        <w:t>business models.</w:t>
      </w:r>
    </w:p>
    <w:p w:rsidR="006D0CE7" w:rsidRDefault="00CA5030" w:rsidP="0040746E">
      <w:pPr>
        <w:rPr>
          <w:sz w:val="24"/>
          <w:szCs w:val="24"/>
        </w:rPr>
      </w:pPr>
      <w:r w:rsidRPr="00CA5030">
        <w:rPr>
          <w:noProof/>
          <w:lang w:eastAsia="zh-CN"/>
        </w:rPr>
        <w:drawing>
          <wp:anchor distT="0" distB="0" distL="114300" distR="114300" simplePos="0" relativeHeight="251658240" behindDoc="1" locked="0" layoutInCell="1" allowOverlap="1">
            <wp:simplePos x="0" y="0"/>
            <wp:positionH relativeFrom="margin">
              <wp:align>left</wp:align>
            </wp:positionH>
            <wp:positionV relativeFrom="paragraph">
              <wp:posOffset>-635</wp:posOffset>
            </wp:positionV>
            <wp:extent cx="3243580" cy="2399665"/>
            <wp:effectExtent l="0" t="0" r="0" b="635"/>
            <wp:wrapTight wrapText="bothSides">
              <wp:wrapPolygon edited="0">
                <wp:start x="0" y="0"/>
                <wp:lineTo x="0" y="21434"/>
                <wp:lineTo x="21439" y="21434"/>
                <wp:lineTo x="214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43580" cy="2399665"/>
                    </a:xfrm>
                    <a:prstGeom prst="rect">
                      <a:avLst/>
                    </a:prstGeom>
                  </pic:spPr>
                </pic:pic>
              </a:graphicData>
            </a:graphic>
            <wp14:sizeRelH relativeFrom="page">
              <wp14:pctWidth>0</wp14:pctWidth>
            </wp14:sizeRelH>
            <wp14:sizeRelV relativeFrom="page">
              <wp14:pctHeight>0</wp14:pctHeight>
            </wp14:sizeRelV>
          </wp:anchor>
        </w:drawing>
      </w:r>
      <w:r w:rsidR="00272515">
        <w:rPr>
          <w:sz w:val="24"/>
          <w:szCs w:val="24"/>
        </w:rPr>
        <w:t>Shawbrook</w:t>
      </w:r>
      <w:r w:rsidR="00B7245B">
        <w:rPr>
          <w:sz w:val="24"/>
          <w:szCs w:val="24"/>
        </w:rPr>
        <w:t xml:space="preserve"> was founded in 2011 </w:t>
      </w:r>
      <w:r w:rsidR="0040746E">
        <w:rPr>
          <w:sz w:val="24"/>
          <w:szCs w:val="24"/>
        </w:rPr>
        <w:t xml:space="preserve">and has grown its loan book to </w:t>
      </w:r>
      <w:r w:rsidRPr="00CA5030">
        <w:rPr>
          <w:sz w:val="24"/>
          <w:szCs w:val="24"/>
        </w:rPr>
        <w:t>£</w:t>
      </w:r>
      <w:r w:rsidR="00B7245B">
        <w:rPr>
          <w:sz w:val="24"/>
          <w:szCs w:val="24"/>
        </w:rPr>
        <w:t xml:space="preserve">2.7 billion as of 1H15. It </w:t>
      </w:r>
      <w:r w:rsidR="00B7245B" w:rsidRPr="00510981">
        <w:rPr>
          <w:noProof/>
          <w:sz w:val="24"/>
          <w:szCs w:val="24"/>
        </w:rPr>
        <w:t xml:space="preserve">is </w:t>
      </w:r>
      <w:r w:rsidRPr="00510981">
        <w:rPr>
          <w:noProof/>
          <w:sz w:val="24"/>
          <w:szCs w:val="24"/>
        </w:rPr>
        <w:t>split</w:t>
      </w:r>
      <w:r>
        <w:rPr>
          <w:sz w:val="24"/>
          <w:szCs w:val="24"/>
        </w:rPr>
        <w:t xml:space="preserve"> into five main segments: commercial mortgages, asset finance, secured lending, consumer lending, and business credit.</w:t>
      </w:r>
    </w:p>
    <w:p w:rsidR="00272515" w:rsidRDefault="00272515" w:rsidP="0040746E">
      <w:pPr>
        <w:rPr>
          <w:sz w:val="24"/>
          <w:szCs w:val="24"/>
        </w:rPr>
      </w:pPr>
      <w:r>
        <w:rPr>
          <w:sz w:val="24"/>
          <w:szCs w:val="24"/>
        </w:rPr>
        <w:t xml:space="preserve">It </w:t>
      </w:r>
      <w:r w:rsidRPr="00510981">
        <w:rPr>
          <w:noProof/>
          <w:sz w:val="24"/>
          <w:szCs w:val="24"/>
        </w:rPr>
        <w:t>is predominantly funded</w:t>
      </w:r>
      <w:r>
        <w:rPr>
          <w:sz w:val="24"/>
          <w:szCs w:val="24"/>
        </w:rPr>
        <w:t xml:space="preserve"> by retail deposits, which are raised online and </w:t>
      </w:r>
      <w:r w:rsidR="00B7245B">
        <w:rPr>
          <w:sz w:val="24"/>
          <w:szCs w:val="24"/>
        </w:rPr>
        <w:t xml:space="preserve">via </w:t>
      </w:r>
      <w:r>
        <w:rPr>
          <w:sz w:val="24"/>
          <w:szCs w:val="24"/>
        </w:rPr>
        <w:t>postal mail; the company has no physical branches and distributes its loans using intermediaries and direct sales.</w:t>
      </w:r>
    </w:p>
    <w:p w:rsidR="00CA5030" w:rsidRDefault="00272515" w:rsidP="0040746E">
      <w:pPr>
        <w:rPr>
          <w:sz w:val="24"/>
          <w:szCs w:val="24"/>
        </w:rPr>
      </w:pPr>
      <w:r>
        <w:rPr>
          <w:sz w:val="24"/>
          <w:szCs w:val="24"/>
        </w:rPr>
        <w:t xml:space="preserve">Shawbrook </w:t>
      </w:r>
      <w:r w:rsidR="00CA5030">
        <w:rPr>
          <w:sz w:val="24"/>
          <w:szCs w:val="24"/>
        </w:rPr>
        <w:t xml:space="preserve">went public in April 2015 on the </w:t>
      </w:r>
      <w:r w:rsidR="00B7245B">
        <w:rPr>
          <w:sz w:val="24"/>
          <w:szCs w:val="24"/>
        </w:rPr>
        <w:t>London Stock Exchange</w:t>
      </w:r>
      <w:r w:rsidR="00CA5030">
        <w:rPr>
          <w:sz w:val="24"/>
          <w:szCs w:val="24"/>
        </w:rPr>
        <w:t xml:space="preserve">, raising </w:t>
      </w:r>
      <w:r w:rsidR="00CA5030" w:rsidRPr="00CA5030">
        <w:rPr>
          <w:sz w:val="24"/>
          <w:szCs w:val="24"/>
        </w:rPr>
        <w:t>£</w:t>
      </w:r>
      <w:r w:rsidR="00CA5030">
        <w:rPr>
          <w:sz w:val="24"/>
          <w:szCs w:val="24"/>
        </w:rPr>
        <w:t xml:space="preserve">90 million in primary proceeds. Its share price has increased approximately 10% since the IPO, and it currently trades at </w:t>
      </w:r>
      <w:r w:rsidR="00CA5030" w:rsidRPr="00CA5030">
        <w:rPr>
          <w:sz w:val="24"/>
          <w:szCs w:val="24"/>
        </w:rPr>
        <w:t>£</w:t>
      </w:r>
      <w:r w:rsidR="00B7245B">
        <w:rPr>
          <w:sz w:val="24"/>
          <w:szCs w:val="24"/>
        </w:rPr>
        <w:t>3.27</w:t>
      </w:r>
      <w:r w:rsidR="00CA5030">
        <w:rPr>
          <w:sz w:val="24"/>
          <w:szCs w:val="24"/>
        </w:rPr>
        <w:t xml:space="preserve"> per share.</w:t>
      </w:r>
    </w:p>
    <w:p w:rsidR="00CA5030" w:rsidRDefault="00CA5030" w:rsidP="0040746E">
      <w:pPr>
        <w:rPr>
          <w:sz w:val="24"/>
          <w:szCs w:val="24"/>
        </w:rPr>
      </w:pPr>
      <w:r>
        <w:rPr>
          <w:sz w:val="24"/>
          <w:szCs w:val="24"/>
        </w:rPr>
        <w:lastRenderedPageBreak/>
        <w:t xml:space="preserve">The company generated </w:t>
      </w:r>
      <w:r w:rsidRPr="00CA5030">
        <w:rPr>
          <w:sz w:val="24"/>
          <w:szCs w:val="24"/>
        </w:rPr>
        <w:t>£</w:t>
      </w:r>
      <w:r w:rsidR="00F27991">
        <w:rPr>
          <w:sz w:val="24"/>
          <w:szCs w:val="24"/>
        </w:rPr>
        <w:t xml:space="preserve">43.4 million in LTM Net Income and </w:t>
      </w:r>
      <w:r>
        <w:rPr>
          <w:sz w:val="24"/>
          <w:szCs w:val="24"/>
        </w:rPr>
        <w:t>an LTM Return on Tangible Common Equity (ROTCE) of 18.5%. Its Common Equity Tier 1 Ratio stood at 15.2% as of 1H15, with a Leverage Ratio and Tangible Common Equity Ratio of 9.2%, a Liquidit</w:t>
      </w:r>
      <w:r w:rsidR="00F27991">
        <w:rPr>
          <w:sz w:val="24"/>
          <w:szCs w:val="24"/>
        </w:rPr>
        <w:t xml:space="preserve">y Coverage Ratio of nearly 400%, </w:t>
      </w:r>
      <w:r>
        <w:rPr>
          <w:sz w:val="24"/>
          <w:szCs w:val="24"/>
        </w:rPr>
        <w:t>and a Ne</w:t>
      </w:r>
      <w:r w:rsidR="00510981">
        <w:rPr>
          <w:sz w:val="24"/>
          <w:szCs w:val="24"/>
        </w:rPr>
        <w:t xml:space="preserve">t Stable Funding Ratio of 116% (all </w:t>
      </w:r>
      <w:r>
        <w:rPr>
          <w:sz w:val="24"/>
          <w:szCs w:val="24"/>
        </w:rPr>
        <w:t xml:space="preserve">far </w:t>
      </w:r>
      <w:r w:rsidR="00510981">
        <w:rPr>
          <w:noProof/>
          <w:sz w:val="24"/>
          <w:szCs w:val="24"/>
        </w:rPr>
        <w:t xml:space="preserve">above </w:t>
      </w:r>
      <w:r>
        <w:rPr>
          <w:sz w:val="24"/>
          <w:szCs w:val="24"/>
        </w:rPr>
        <w:t>the requirements</w:t>
      </w:r>
      <w:r w:rsidR="00510981">
        <w:rPr>
          <w:sz w:val="24"/>
          <w:szCs w:val="24"/>
        </w:rPr>
        <w:t>)</w:t>
      </w:r>
      <w:r>
        <w:rPr>
          <w:sz w:val="24"/>
          <w:szCs w:val="24"/>
        </w:rPr>
        <w:t>.</w:t>
      </w:r>
    </w:p>
    <w:p w:rsidR="00CA5030" w:rsidRDefault="00CA5030" w:rsidP="0040746E">
      <w:pPr>
        <w:rPr>
          <w:sz w:val="24"/>
          <w:szCs w:val="24"/>
        </w:rPr>
      </w:pPr>
      <w:r>
        <w:rPr>
          <w:sz w:val="24"/>
          <w:szCs w:val="24"/>
        </w:rPr>
        <w:t xml:space="preserve">The company does not yet issue </w:t>
      </w:r>
      <w:r w:rsidRPr="00510981">
        <w:rPr>
          <w:noProof/>
          <w:sz w:val="24"/>
          <w:szCs w:val="24"/>
        </w:rPr>
        <w:t>dividends</w:t>
      </w:r>
      <w:r>
        <w:rPr>
          <w:sz w:val="24"/>
          <w:szCs w:val="24"/>
        </w:rPr>
        <w:t xml:space="preserve"> but plans to begin issuing </w:t>
      </w:r>
      <w:r w:rsidR="00F27991">
        <w:rPr>
          <w:sz w:val="24"/>
          <w:szCs w:val="24"/>
        </w:rPr>
        <w:t>them</w:t>
      </w:r>
      <w:r>
        <w:rPr>
          <w:sz w:val="24"/>
          <w:szCs w:val="24"/>
        </w:rPr>
        <w:t xml:space="preserve"> in FY16 at a payout ratio of 10%, which will increase to 30-40% over the next several years.</w:t>
      </w:r>
      <w:r w:rsidR="00272515">
        <w:rPr>
          <w:sz w:val="24"/>
          <w:szCs w:val="24"/>
        </w:rPr>
        <w:t xml:space="preserve"> It </w:t>
      </w:r>
      <w:r w:rsidR="00F27991">
        <w:rPr>
          <w:sz w:val="24"/>
          <w:szCs w:val="24"/>
        </w:rPr>
        <w:t xml:space="preserve">will </w:t>
      </w:r>
      <w:r w:rsidR="00272515">
        <w:rPr>
          <w:sz w:val="24"/>
          <w:szCs w:val="24"/>
        </w:rPr>
        <w:t>target a 13% CET 1 Ratio for the foreseeable future as it increases its dividend</w:t>
      </w:r>
      <w:r w:rsidR="00F27991">
        <w:rPr>
          <w:sz w:val="24"/>
          <w:szCs w:val="24"/>
        </w:rPr>
        <w:t xml:space="preserve">s </w:t>
      </w:r>
      <w:r w:rsidR="00272515">
        <w:rPr>
          <w:sz w:val="24"/>
          <w:szCs w:val="24"/>
        </w:rPr>
        <w:t xml:space="preserve">and </w:t>
      </w:r>
      <w:r w:rsidR="00F27991">
        <w:rPr>
          <w:sz w:val="24"/>
          <w:szCs w:val="24"/>
        </w:rPr>
        <w:t xml:space="preserve">grows and diversifies </w:t>
      </w:r>
      <w:r w:rsidR="00272515">
        <w:rPr>
          <w:sz w:val="24"/>
          <w:szCs w:val="24"/>
        </w:rPr>
        <w:t>its loan portfolio.</w:t>
      </w:r>
    </w:p>
    <w:p w:rsidR="00CA5030" w:rsidRDefault="00272515" w:rsidP="0040746E">
      <w:pPr>
        <w:rPr>
          <w:sz w:val="24"/>
          <w:szCs w:val="24"/>
        </w:rPr>
      </w:pPr>
      <w:r w:rsidRPr="00510981">
        <w:rPr>
          <w:noProof/>
          <w:sz w:val="24"/>
          <w:szCs w:val="24"/>
        </w:rPr>
        <w:t>Shawbrook’s market cap is approximately £818.5 million, and it trades at an LTM P / E multiple of 17.6x and 1-year and 2-year forward multiples of 15.1x and 12.4x, respectively, against medians of 18.9x, 14.4x, and 11.1x for our set of comparable banks (Virgin Money, Aldermore, OneSavings Bank, and Secure Trust Bank).</w:t>
      </w:r>
    </w:p>
    <w:p w:rsidR="00CA5030" w:rsidRDefault="00776653" w:rsidP="0040746E">
      <w:pPr>
        <w:rPr>
          <w:sz w:val="24"/>
          <w:szCs w:val="24"/>
        </w:rPr>
      </w:pPr>
      <w:r>
        <w:rPr>
          <w:sz w:val="24"/>
          <w:szCs w:val="24"/>
        </w:rPr>
        <w:t xml:space="preserve">Its </w:t>
      </w:r>
      <w:r w:rsidR="00F27991">
        <w:rPr>
          <w:sz w:val="24"/>
          <w:szCs w:val="24"/>
        </w:rPr>
        <w:t xml:space="preserve">LTM P / TBV multiple is 3.0x, </w:t>
      </w:r>
      <w:r>
        <w:rPr>
          <w:sz w:val="24"/>
          <w:szCs w:val="24"/>
        </w:rPr>
        <w:t xml:space="preserve">and </w:t>
      </w:r>
      <w:r w:rsidR="00F27991">
        <w:rPr>
          <w:sz w:val="24"/>
          <w:szCs w:val="24"/>
        </w:rPr>
        <w:t>its 1-year and 2-year forward figures are 2.6x and 2.0x, respectively</w:t>
      </w:r>
      <w:r>
        <w:rPr>
          <w:sz w:val="24"/>
          <w:szCs w:val="24"/>
        </w:rPr>
        <w:t>; the medians for the set of comparables are 3.2x, 3.0x, and 2.4x.</w:t>
      </w:r>
    </w:p>
    <w:p w:rsidR="006D0CE7" w:rsidRDefault="00F27991" w:rsidP="00B01AEC">
      <w:pPr>
        <w:rPr>
          <w:sz w:val="24"/>
          <w:szCs w:val="24"/>
        </w:rPr>
      </w:pPr>
      <w:r>
        <w:rPr>
          <w:sz w:val="24"/>
          <w:szCs w:val="24"/>
        </w:rPr>
        <w:t>These</w:t>
      </w:r>
      <w:r w:rsidR="00776653">
        <w:rPr>
          <w:sz w:val="24"/>
          <w:szCs w:val="24"/>
        </w:rPr>
        <w:t xml:space="preserve"> multiples are based on our “Base Case” financial estimates for the</w:t>
      </w:r>
      <w:r w:rsidR="009F526C">
        <w:rPr>
          <w:sz w:val="24"/>
          <w:szCs w:val="24"/>
        </w:rPr>
        <w:t xml:space="preserve"> company </w:t>
      </w:r>
      <w:r w:rsidR="00776653">
        <w:rPr>
          <w:sz w:val="24"/>
          <w:szCs w:val="24"/>
        </w:rPr>
        <w:t>and do not reflect adjustments for excess or deficit capital</w:t>
      </w:r>
      <w:r w:rsidR="009F526C">
        <w:rPr>
          <w:sz w:val="24"/>
          <w:szCs w:val="24"/>
        </w:rPr>
        <w:t>.</w:t>
      </w:r>
    </w:p>
    <w:p w:rsidR="00EA1047" w:rsidRDefault="00CA70EF" w:rsidP="00B01AEC">
      <w:pPr>
        <w:rPr>
          <w:sz w:val="24"/>
          <w:szCs w:val="24"/>
        </w:rPr>
      </w:pPr>
      <w:hyperlink w:anchor="Top" w:history="1">
        <w:r w:rsidR="00EA1047" w:rsidRPr="00EA1047">
          <w:rPr>
            <w:rStyle w:val="Hyperlink"/>
            <w:sz w:val="24"/>
            <w:szCs w:val="24"/>
          </w:rPr>
          <w:t>Return to Top</w:t>
        </w:r>
      </w:hyperlink>
      <w:r w:rsidR="00EA1047">
        <w:rPr>
          <w:sz w:val="24"/>
          <w:szCs w:val="24"/>
        </w:rPr>
        <w:t>.</w:t>
      </w:r>
    </w:p>
    <w:p w:rsidR="00B01AEC" w:rsidRPr="006A1761" w:rsidRDefault="00B01AEC" w:rsidP="00B01AEC">
      <w:pPr>
        <w:pBdr>
          <w:bottom w:val="single" w:sz="6" w:space="1" w:color="auto"/>
        </w:pBdr>
        <w:rPr>
          <w:b/>
          <w:sz w:val="24"/>
          <w:szCs w:val="24"/>
        </w:rPr>
      </w:pPr>
      <w:bookmarkStart w:id="3" w:name="InvestmentThesis"/>
      <w:r w:rsidRPr="00AD0CC0">
        <w:rPr>
          <w:b/>
          <w:sz w:val="24"/>
          <w:szCs w:val="24"/>
        </w:rPr>
        <w:t>Investment Thesis</w:t>
      </w:r>
    </w:p>
    <w:bookmarkEnd w:id="3"/>
    <w:p w:rsidR="00477593" w:rsidRDefault="00477593" w:rsidP="00B01AEC">
      <w:pPr>
        <w:rPr>
          <w:sz w:val="24"/>
          <w:szCs w:val="24"/>
        </w:rPr>
      </w:pPr>
      <w:r>
        <w:rPr>
          <w:sz w:val="24"/>
          <w:szCs w:val="24"/>
        </w:rPr>
        <w:t xml:space="preserve">Currently, the market views Shawbrook as one of the most promising challenger </w:t>
      </w:r>
      <w:r w:rsidR="00510981" w:rsidRPr="00510981">
        <w:rPr>
          <w:noProof/>
          <w:sz w:val="24"/>
          <w:szCs w:val="24"/>
        </w:rPr>
        <w:t>banks</w:t>
      </w:r>
      <w:r w:rsidR="00510981">
        <w:rPr>
          <w:noProof/>
          <w:sz w:val="24"/>
          <w:szCs w:val="24"/>
        </w:rPr>
        <w:t>/</w:t>
      </w:r>
      <w:r w:rsidRPr="00510981">
        <w:rPr>
          <w:noProof/>
          <w:sz w:val="24"/>
          <w:szCs w:val="24"/>
        </w:rPr>
        <w:t>specialty</w:t>
      </w:r>
      <w:r>
        <w:rPr>
          <w:sz w:val="24"/>
          <w:szCs w:val="24"/>
        </w:rPr>
        <w:t xml:space="preserve"> lenders in the </w:t>
      </w:r>
      <w:r w:rsidRPr="00510981">
        <w:rPr>
          <w:noProof/>
          <w:sz w:val="24"/>
          <w:szCs w:val="24"/>
        </w:rPr>
        <w:t>UK</w:t>
      </w:r>
      <w:r>
        <w:rPr>
          <w:sz w:val="24"/>
          <w:szCs w:val="24"/>
        </w:rPr>
        <w:t xml:space="preserve"> and believes that it will continue </w:t>
      </w:r>
      <w:r w:rsidR="009F526C">
        <w:rPr>
          <w:sz w:val="24"/>
          <w:szCs w:val="24"/>
        </w:rPr>
        <w:t xml:space="preserve">to earn </w:t>
      </w:r>
      <w:r>
        <w:rPr>
          <w:sz w:val="24"/>
          <w:szCs w:val="24"/>
        </w:rPr>
        <w:t xml:space="preserve">above-market </w:t>
      </w:r>
      <w:r w:rsidR="009F526C">
        <w:rPr>
          <w:sz w:val="24"/>
          <w:szCs w:val="24"/>
        </w:rPr>
        <w:t xml:space="preserve">loan </w:t>
      </w:r>
      <w:r>
        <w:rPr>
          <w:sz w:val="24"/>
          <w:szCs w:val="24"/>
        </w:rPr>
        <w:t xml:space="preserve">yields and </w:t>
      </w:r>
      <w:r w:rsidR="009F526C">
        <w:rPr>
          <w:sz w:val="24"/>
          <w:szCs w:val="24"/>
        </w:rPr>
        <w:t xml:space="preserve">grow </w:t>
      </w:r>
      <w:r>
        <w:rPr>
          <w:sz w:val="24"/>
          <w:szCs w:val="24"/>
        </w:rPr>
        <w:t>its loan portfolio more quickly than competitors.</w:t>
      </w:r>
    </w:p>
    <w:p w:rsidR="00477593" w:rsidRDefault="00477593" w:rsidP="00B01AEC">
      <w:pPr>
        <w:rPr>
          <w:sz w:val="24"/>
          <w:szCs w:val="24"/>
        </w:rPr>
      </w:pPr>
      <w:r>
        <w:rPr>
          <w:sz w:val="24"/>
          <w:szCs w:val="24"/>
        </w:rPr>
        <w:t xml:space="preserve">As a result, the firm trades at P / E and P / TBV multiples that are in-line with or above those of the comparable companies. However, given that Shawbrook’s expected FY16 Net Income Growth is </w:t>
      </w:r>
      <w:r>
        <w:rPr>
          <w:sz w:val="24"/>
          <w:szCs w:val="24"/>
          <w:u w:val="single"/>
        </w:rPr>
        <w:t>below</w:t>
      </w:r>
      <w:r>
        <w:rPr>
          <w:sz w:val="24"/>
          <w:szCs w:val="24"/>
        </w:rPr>
        <w:t xml:space="preserve"> the median for our set of comparables and that its forecast FY15 and FY16 ROTCE are also below the median figures, we do not believe this valuation is justified. </w:t>
      </w:r>
      <w:r w:rsidR="009F526C">
        <w:rPr>
          <w:sz w:val="24"/>
          <w:szCs w:val="24"/>
        </w:rPr>
        <w:t xml:space="preserve">Since </w:t>
      </w:r>
      <w:r>
        <w:rPr>
          <w:sz w:val="24"/>
          <w:szCs w:val="24"/>
        </w:rPr>
        <w:t xml:space="preserve">its projected Net Income Growth and ROTCE are 10-20% below the medians from the comparables, we would expect Shawbrook to </w:t>
      </w:r>
      <w:r w:rsidRPr="00510981">
        <w:rPr>
          <w:noProof/>
          <w:sz w:val="24"/>
          <w:szCs w:val="24"/>
        </w:rPr>
        <w:t>be overvalued</w:t>
      </w:r>
      <w:r>
        <w:rPr>
          <w:sz w:val="24"/>
          <w:szCs w:val="24"/>
        </w:rPr>
        <w:t xml:space="preserve"> by </w:t>
      </w:r>
      <w:r w:rsidRPr="00477593">
        <w:rPr>
          <w:sz w:val="24"/>
          <w:szCs w:val="24"/>
          <w:u w:val="single"/>
        </w:rPr>
        <w:t>at least</w:t>
      </w:r>
      <w:r>
        <w:rPr>
          <w:sz w:val="24"/>
          <w:szCs w:val="24"/>
        </w:rPr>
        <w:t xml:space="preserve"> that much.</w:t>
      </w:r>
    </w:p>
    <w:p w:rsidR="00477593" w:rsidRDefault="009F526C" w:rsidP="00B01AEC">
      <w:pPr>
        <w:rPr>
          <w:sz w:val="24"/>
          <w:szCs w:val="24"/>
        </w:rPr>
      </w:pPr>
      <w:r>
        <w:rPr>
          <w:sz w:val="24"/>
          <w:szCs w:val="24"/>
        </w:rPr>
        <w:t>A</w:t>
      </w:r>
      <w:r w:rsidR="00477593">
        <w:rPr>
          <w:sz w:val="24"/>
          <w:szCs w:val="24"/>
        </w:rPr>
        <w:t xml:space="preserve"> dividend discount model using our Base Case assumptions shows that the company is overvalued by even more: approximately 3</w:t>
      </w:r>
      <w:r>
        <w:rPr>
          <w:sz w:val="24"/>
          <w:szCs w:val="24"/>
        </w:rPr>
        <w:t>0%. This more dramatic difference</w:t>
      </w:r>
      <w:r w:rsidR="00477593">
        <w:rPr>
          <w:sz w:val="24"/>
          <w:szCs w:val="24"/>
        </w:rPr>
        <w:t xml:space="preserve"> in valuation is evident when you factor in the company’s expected long-term performance over 10-15 years.</w:t>
      </w:r>
    </w:p>
    <w:p w:rsidR="00B01AEC" w:rsidRDefault="00B01AEC" w:rsidP="00B01AEC">
      <w:pPr>
        <w:rPr>
          <w:sz w:val="24"/>
          <w:szCs w:val="24"/>
        </w:rPr>
      </w:pPr>
      <w:r>
        <w:rPr>
          <w:sz w:val="24"/>
          <w:szCs w:val="24"/>
        </w:rPr>
        <w:lastRenderedPageBreak/>
        <w:t xml:space="preserve">The stock </w:t>
      </w:r>
      <w:r w:rsidRPr="00510981">
        <w:rPr>
          <w:noProof/>
          <w:sz w:val="24"/>
          <w:szCs w:val="24"/>
        </w:rPr>
        <w:t>is mispriced</w:t>
      </w:r>
      <w:r>
        <w:rPr>
          <w:sz w:val="24"/>
          <w:szCs w:val="24"/>
        </w:rPr>
        <w:t xml:space="preserve"> for the following reasons:</w:t>
      </w:r>
    </w:p>
    <w:p w:rsidR="00901E68" w:rsidRDefault="00901E68" w:rsidP="00945C5F">
      <w:pPr>
        <w:pStyle w:val="ListParagraph"/>
        <w:numPr>
          <w:ilvl w:val="0"/>
          <w:numId w:val="9"/>
        </w:numPr>
        <w:rPr>
          <w:sz w:val="24"/>
          <w:szCs w:val="24"/>
        </w:rPr>
      </w:pPr>
      <w:r w:rsidRPr="00510981">
        <w:rPr>
          <w:b/>
          <w:noProof/>
          <w:sz w:val="24"/>
          <w:szCs w:val="24"/>
        </w:rPr>
        <w:t>Macroeconomic / Market Factors:</w:t>
      </w:r>
      <w:r w:rsidRPr="00510981">
        <w:rPr>
          <w:noProof/>
          <w:sz w:val="24"/>
          <w:szCs w:val="24"/>
        </w:rPr>
        <w:t xml:space="preserve"> We expect the UK GDP to grow at only 2.0% – 2.5% rather than 3.0% – 3.5% over the next five years, with LIBOR rising to only 1.0% – 1.3%; these macroeconomic factors, along with a slowdown in </w:t>
      </w:r>
      <w:r w:rsidR="00510981" w:rsidRPr="00510981">
        <w:rPr>
          <w:noProof/>
          <w:sz w:val="24"/>
          <w:szCs w:val="24"/>
        </w:rPr>
        <w:t xml:space="preserve">mortgage lending, mean that the </w:t>
      </w:r>
      <w:r w:rsidRPr="00510981">
        <w:rPr>
          <w:noProof/>
          <w:sz w:val="24"/>
          <w:szCs w:val="24"/>
        </w:rPr>
        <w:t>company will grow its commercial mortgages by only 3x over the next five years, not the ~4x growth the market expects.</w:t>
      </w:r>
    </w:p>
    <w:p w:rsidR="00901E68" w:rsidRDefault="00901E68" w:rsidP="00901E68">
      <w:pPr>
        <w:pStyle w:val="ListParagraph"/>
        <w:rPr>
          <w:sz w:val="24"/>
          <w:szCs w:val="24"/>
        </w:rPr>
      </w:pPr>
    </w:p>
    <w:p w:rsidR="00901E68" w:rsidRPr="00901E68" w:rsidRDefault="00901E68" w:rsidP="00901E68">
      <w:pPr>
        <w:pStyle w:val="ListParagraph"/>
        <w:rPr>
          <w:sz w:val="24"/>
          <w:szCs w:val="24"/>
        </w:rPr>
      </w:pPr>
      <w:r>
        <w:rPr>
          <w:b/>
          <w:sz w:val="24"/>
          <w:szCs w:val="24"/>
        </w:rPr>
        <w:t>Valuation Impact:</w:t>
      </w:r>
      <w:r>
        <w:rPr>
          <w:sz w:val="24"/>
          <w:szCs w:val="24"/>
        </w:rPr>
        <w:t xml:space="preserve"> Using our “Base Case” numbers for everything else but changing the assumptions for UK GDP growth, LIBOR, and the commercial mortgage loan book results in an implied share price of </w:t>
      </w:r>
      <w:r w:rsidRPr="00CA5030">
        <w:rPr>
          <w:sz w:val="24"/>
          <w:szCs w:val="24"/>
        </w:rPr>
        <w:t>£</w:t>
      </w:r>
      <w:r>
        <w:rPr>
          <w:sz w:val="24"/>
          <w:szCs w:val="24"/>
        </w:rPr>
        <w:t xml:space="preserve">2.56 in the DDM, against a current share price of </w:t>
      </w:r>
      <w:r w:rsidRPr="00CA5030">
        <w:rPr>
          <w:sz w:val="24"/>
          <w:szCs w:val="24"/>
        </w:rPr>
        <w:t>£</w:t>
      </w:r>
      <w:r w:rsidR="006F7A10">
        <w:rPr>
          <w:sz w:val="24"/>
          <w:szCs w:val="24"/>
        </w:rPr>
        <w:t>3.27 (a ~20% discount).</w:t>
      </w:r>
    </w:p>
    <w:p w:rsidR="00901E68" w:rsidRPr="00901E68" w:rsidRDefault="00901E68" w:rsidP="00901E68">
      <w:pPr>
        <w:spacing w:after="0"/>
        <w:rPr>
          <w:sz w:val="24"/>
          <w:szCs w:val="24"/>
        </w:rPr>
      </w:pPr>
    </w:p>
    <w:p w:rsidR="00601812" w:rsidRDefault="00901E68" w:rsidP="00945C5F">
      <w:pPr>
        <w:pStyle w:val="ListParagraph"/>
        <w:numPr>
          <w:ilvl w:val="0"/>
          <w:numId w:val="9"/>
        </w:numPr>
        <w:rPr>
          <w:sz w:val="24"/>
          <w:szCs w:val="24"/>
        </w:rPr>
      </w:pPr>
      <w:r>
        <w:rPr>
          <w:b/>
          <w:sz w:val="24"/>
          <w:szCs w:val="24"/>
        </w:rPr>
        <w:t>Competition and Interest Spreads:</w:t>
      </w:r>
      <w:r>
        <w:rPr>
          <w:sz w:val="24"/>
          <w:szCs w:val="24"/>
        </w:rPr>
        <w:t xml:space="preserve"> We expect interest spreads against LIBOR on Shawbrook’s loans to decline by ~1% </w:t>
      </w:r>
      <w:r w:rsidRPr="00013E86">
        <w:rPr>
          <w:noProof/>
          <w:sz w:val="24"/>
          <w:szCs w:val="24"/>
        </w:rPr>
        <w:t>over the next five years due to increased competition</w:t>
      </w:r>
      <w:r w:rsidR="006F7A10">
        <w:rPr>
          <w:noProof/>
          <w:sz w:val="24"/>
          <w:szCs w:val="24"/>
        </w:rPr>
        <w:t>. T</w:t>
      </w:r>
      <w:r>
        <w:rPr>
          <w:noProof/>
          <w:sz w:val="24"/>
          <w:szCs w:val="24"/>
        </w:rPr>
        <w:t xml:space="preserve">he company already </w:t>
      </w:r>
      <w:r w:rsidR="00601812">
        <w:rPr>
          <w:noProof/>
          <w:sz w:val="24"/>
          <w:szCs w:val="24"/>
        </w:rPr>
        <w:t xml:space="preserve">earns higher yields </w:t>
      </w:r>
      <w:r>
        <w:rPr>
          <w:noProof/>
          <w:sz w:val="24"/>
          <w:szCs w:val="24"/>
        </w:rPr>
        <w:t xml:space="preserve">than competitors (e.g., </w:t>
      </w:r>
      <w:r w:rsidR="00601812">
        <w:rPr>
          <w:noProof/>
          <w:sz w:val="24"/>
          <w:szCs w:val="24"/>
        </w:rPr>
        <w:t>a 6.3% yield on commercial mortgages vs. 5.1% for Aldermore and 5.8% for OneSavings), and we do not see a clear reason for this to continue.</w:t>
      </w:r>
    </w:p>
    <w:p w:rsidR="00601812" w:rsidRDefault="00601812" w:rsidP="00601812">
      <w:pPr>
        <w:pStyle w:val="ListParagraph"/>
        <w:rPr>
          <w:b/>
          <w:sz w:val="24"/>
          <w:szCs w:val="24"/>
        </w:rPr>
      </w:pPr>
    </w:p>
    <w:p w:rsidR="00901E68" w:rsidRDefault="00601812" w:rsidP="00601812">
      <w:pPr>
        <w:pStyle w:val="ListParagraph"/>
        <w:rPr>
          <w:noProof/>
          <w:sz w:val="24"/>
          <w:szCs w:val="24"/>
        </w:rPr>
      </w:pPr>
      <w:r>
        <w:rPr>
          <w:noProof/>
          <w:sz w:val="24"/>
          <w:szCs w:val="24"/>
        </w:rPr>
        <w:t>Additionally, we expect the company’s funding costs to increase modestly over the next five years due to rising rates in the overall economy and the fact that ~50% of the company’s deposits have terms of less than one year.</w:t>
      </w:r>
    </w:p>
    <w:p w:rsidR="00601812" w:rsidRDefault="00601812" w:rsidP="00601812">
      <w:pPr>
        <w:pStyle w:val="ListParagraph"/>
        <w:rPr>
          <w:noProof/>
          <w:sz w:val="24"/>
          <w:szCs w:val="24"/>
        </w:rPr>
      </w:pPr>
    </w:p>
    <w:p w:rsidR="00601812" w:rsidRDefault="00601812" w:rsidP="00601812">
      <w:pPr>
        <w:pStyle w:val="ListParagraph"/>
        <w:rPr>
          <w:sz w:val="24"/>
          <w:szCs w:val="24"/>
        </w:rPr>
      </w:pPr>
      <w:r>
        <w:rPr>
          <w:b/>
          <w:noProof/>
          <w:sz w:val="24"/>
          <w:szCs w:val="24"/>
        </w:rPr>
        <w:t>Valuation Impact:</w:t>
      </w:r>
      <w:r>
        <w:rPr>
          <w:noProof/>
          <w:sz w:val="24"/>
          <w:szCs w:val="24"/>
        </w:rPr>
        <w:t xml:space="preserve"> </w:t>
      </w:r>
      <w:r w:rsidR="00AF6BD5">
        <w:rPr>
          <w:noProof/>
          <w:sz w:val="24"/>
          <w:szCs w:val="24"/>
        </w:rPr>
        <w:t xml:space="preserve">Over only the next five years, assuming the same spreads and funding costs makes a difference of around </w:t>
      </w:r>
      <w:r w:rsidR="00AF6BD5">
        <w:rPr>
          <w:b/>
          <w:noProof/>
          <w:sz w:val="24"/>
          <w:szCs w:val="24"/>
        </w:rPr>
        <w:t>5%</w:t>
      </w:r>
      <w:r w:rsidR="006F7A10">
        <w:rPr>
          <w:noProof/>
          <w:sz w:val="24"/>
          <w:szCs w:val="24"/>
        </w:rPr>
        <w:t xml:space="preserve"> </w:t>
      </w:r>
      <w:r w:rsidR="00510981">
        <w:rPr>
          <w:noProof/>
          <w:sz w:val="24"/>
          <w:szCs w:val="24"/>
        </w:rPr>
        <w:t>i</w:t>
      </w:r>
      <w:r w:rsidR="006F7A10" w:rsidRPr="00510981">
        <w:rPr>
          <w:noProof/>
          <w:sz w:val="24"/>
          <w:szCs w:val="24"/>
        </w:rPr>
        <w:t>n</w:t>
      </w:r>
      <w:r w:rsidR="006F7A10">
        <w:rPr>
          <w:noProof/>
          <w:sz w:val="24"/>
          <w:szCs w:val="24"/>
        </w:rPr>
        <w:t xml:space="preserve"> the company’s share price. </w:t>
      </w:r>
      <w:r w:rsidR="006F7A10" w:rsidRPr="00510981">
        <w:rPr>
          <w:noProof/>
          <w:sz w:val="24"/>
          <w:szCs w:val="24"/>
        </w:rPr>
        <w:t>H</w:t>
      </w:r>
      <w:r w:rsidR="00AF6BD5" w:rsidRPr="00510981">
        <w:rPr>
          <w:noProof/>
          <w:sz w:val="24"/>
          <w:szCs w:val="24"/>
        </w:rPr>
        <w:t xml:space="preserve">owever, if you extend this out and assume a much higher ROTCE of 20% declining to 12% over the </w:t>
      </w:r>
      <w:r w:rsidR="006F7A10" w:rsidRPr="00510981">
        <w:rPr>
          <w:noProof/>
          <w:sz w:val="24"/>
          <w:szCs w:val="24"/>
        </w:rPr>
        <w:t xml:space="preserve">ten </w:t>
      </w:r>
      <w:r w:rsidR="00AF6BD5" w:rsidRPr="00510981">
        <w:rPr>
          <w:noProof/>
          <w:sz w:val="24"/>
          <w:szCs w:val="24"/>
        </w:rPr>
        <w:t>years after that (since the company’s Year 5 ROTCE under these assumptions is 21%), the company’s implied share price is £2.68 in the DDM, against a current share price of £</w:t>
      </w:r>
      <w:r w:rsidR="006F7A10" w:rsidRPr="00510981">
        <w:rPr>
          <w:noProof/>
          <w:sz w:val="24"/>
          <w:szCs w:val="24"/>
        </w:rPr>
        <w:t>3.27 (a ~20% discount).</w:t>
      </w:r>
    </w:p>
    <w:p w:rsidR="004F3450" w:rsidRDefault="004F3450" w:rsidP="00601812">
      <w:pPr>
        <w:pStyle w:val="ListParagraph"/>
        <w:rPr>
          <w:sz w:val="24"/>
          <w:szCs w:val="24"/>
        </w:rPr>
      </w:pPr>
    </w:p>
    <w:p w:rsidR="004F3450" w:rsidRDefault="004F3450" w:rsidP="00945C5F">
      <w:pPr>
        <w:pStyle w:val="ListParagraph"/>
        <w:numPr>
          <w:ilvl w:val="0"/>
          <w:numId w:val="9"/>
        </w:numPr>
        <w:rPr>
          <w:sz w:val="24"/>
          <w:szCs w:val="24"/>
        </w:rPr>
      </w:pPr>
      <w:r>
        <w:rPr>
          <w:b/>
          <w:sz w:val="24"/>
          <w:szCs w:val="24"/>
        </w:rPr>
        <w:t>Lower-Than-Expected Long-Term ROTCE:</w:t>
      </w:r>
      <w:r>
        <w:rPr>
          <w:sz w:val="24"/>
          <w:szCs w:val="24"/>
        </w:rPr>
        <w:t xml:space="preserve"> We expect the bank’s ROTCE to decline from 24% in its most recent </w:t>
      </w:r>
      <w:r w:rsidR="00C63A0D">
        <w:rPr>
          <w:sz w:val="24"/>
          <w:szCs w:val="24"/>
        </w:rPr>
        <w:t xml:space="preserve">historical </w:t>
      </w:r>
      <w:r>
        <w:rPr>
          <w:sz w:val="24"/>
          <w:szCs w:val="24"/>
        </w:rPr>
        <w:t xml:space="preserve">year to 18% by FY19, and then to decline to 12% in the ten years after that. Most research analysts project ROTCE to stay well above 20% through FY19 and presumably to remain higher than 12% in the long term as well. We </w:t>
      </w:r>
      <w:r>
        <w:rPr>
          <w:sz w:val="24"/>
          <w:szCs w:val="24"/>
        </w:rPr>
        <w:lastRenderedPageBreak/>
        <w:t xml:space="preserve">don’t find this assumption credible because </w:t>
      </w:r>
      <w:r w:rsidR="005F4AE3">
        <w:rPr>
          <w:sz w:val="24"/>
          <w:szCs w:val="24"/>
        </w:rPr>
        <w:t>the “mature” banks with the most similar profiles to Shawbrook have ROTCEs of 12-13% currently:</w:t>
      </w:r>
    </w:p>
    <w:p w:rsidR="005F4AE3" w:rsidRDefault="005F4AE3" w:rsidP="005F4AE3">
      <w:pPr>
        <w:pStyle w:val="ListParagraph"/>
        <w:rPr>
          <w:b/>
          <w:sz w:val="24"/>
          <w:szCs w:val="24"/>
        </w:rPr>
      </w:pPr>
    </w:p>
    <w:p w:rsidR="005F4AE3" w:rsidRDefault="005F4AE3" w:rsidP="005F4AE3">
      <w:pPr>
        <w:pStyle w:val="ListParagraph"/>
        <w:ind w:left="0"/>
        <w:jc w:val="center"/>
        <w:rPr>
          <w:b/>
          <w:sz w:val="24"/>
          <w:szCs w:val="24"/>
        </w:rPr>
      </w:pPr>
      <w:r w:rsidRPr="00743496">
        <w:rPr>
          <w:noProof/>
          <w:lang w:eastAsia="zh-CN"/>
        </w:rPr>
        <w:drawing>
          <wp:inline distT="0" distB="0" distL="0" distR="0" wp14:anchorId="2AFB0CFF" wp14:editId="7C2E53E5">
            <wp:extent cx="5943600" cy="3672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672840"/>
                    </a:xfrm>
                    <a:prstGeom prst="rect">
                      <a:avLst/>
                    </a:prstGeom>
                  </pic:spPr>
                </pic:pic>
              </a:graphicData>
            </a:graphic>
          </wp:inline>
        </w:drawing>
      </w:r>
    </w:p>
    <w:p w:rsidR="005F4AE3" w:rsidRDefault="005F4AE3" w:rsidP="005F4AE3">
      <w:pPr>
        <w:pStyle w:val="ListParagraph"/>
        <w:rPr>
          <w:b/>
          <w:sz w:val="24"/>
          <w:szCs w:val="24"/>
        </w:rPr>
      </w:pPr>
    </w:p>
    <w:p w:rsidR="005F4AE3" w:rsidRPr="00C95ABD" w:rsidRDefault="005F4AE3" w:rsidP="005F4AE3">
      <w:pPr>
        <w:pStyle w:val="ListParagraph"/>
        <w:rPr>
          <w:sz w:val="24"/>
          <w:szCs w:val="24"/>
        </w:rPr>
      </w:pPr>
      <w:r w:rsidRPr="005F4AE3">
        <w:rPr>
          <w:b/>
          <w:sz w:val="24"/>
          <w:szCs w:val="24"/>
        </w:rPr>
        <w:t>Valuation Impact:</w:t>
      </w:r>
      <w:r>
        <w:rPr>
          <w:sz w:val="24"/>
          <w:szCs w:val="24"/>
        </w:rPr>
        <w:t xml:space="preserve"> If you assume that ROTCE declines from 17% to 13% over five years and that the long-term ROTCE is 13%, the company’s implied per-share value in the DDM is </w:t>
      </w:r>
      <w:r w:rsidR="00C95ABD" w:rsidRPr="00CA5030">
        <w:rPr>
          <w:sz w:val="24"/>
          <w:szCs w:val="24"/>
        </w:rPr>
        <w:t>£</w:t>
      </w:r>
      <w:r w:rsidR="00C95ABD">
        <w:rPr>
          <w:sz w:val="24"/>
          <w:szCs w:val="24"/>
        </w:rPr>
        <w:t>2.78, which is a 15% disco</w:t>
      </w:r>
      <w:r w:rsidR="00C63A0D">
        <w:rPr>
          <w:sz w:val="24"/>
          <w:szCs w:val="24"/>
        </w:rPr>
        <w:t>unt to its current share price. W</w:t>
      </w:r>
      <w:r w:rsidR="00C95ABD">
        <w:rPr>
          <w:sz w:val="24"/>
          <w:szCs w:val="24"/>
        </w:rPr>
        <w:t xml:space="preserve">ith our lower figures for ROTCE, this drops to </w:t>
      </w:r>
      <w:r w:rsidR="00C95ABD" w:rsidRPr="00CA5030">
        <w:rPr>
          <w:sz w:val="24"/>
          <w:szCs w:val="24"/>
        </w:rPr>
        <w:t>£</w:t>
      </w:r>
      <w:r w:rsidR="00C95ABD">
        <w:rPr>
          <w:sz w:val="24"/>
          <w:szCs w:val="24"/>
        </w:rPr>
        <w:t>2.38</w:t>
      </w:r>
      <w:r w:rsidR="00C95ABD" w:rsidRPr="00510981">
        <w:rPr>
          <w:noProof/>
          <w:sz w:val="24"/>
          <w:szCs w:val="24"/>
        </w:rPr>
        <w:t>,</w:t>
      </w:r>
      <w:r w:rsidR="00C95ABD">
        <w:rPr>
          <w:sz w:val="24"/>
          <w:szCs w:val="24"/>
        </w:rPr>
        <w:t xml:space="preserve"> or a ~27% discount to its current share price.</w:t>
      </w:r>
    </w:p>
    <w:p w:rsidR="005F4AE3" w:rsidRDefault="005F4AE3" w:rsidP="005F4AE3">
      <w:pPr>
        <w:pStyle w:val="ListParagraph"/>
        <w:rPr>
          <w:sz w:val="24"/>
          <w:szCs w:val="24"/>
        </w:rPr>
      </w:pPr>
    </w:p>
    <w:p w:rsidR="005F4AE3" w:rsidRDefault="00C95ABD" w:rsidP="00945C5F">
      <w:pPr>
        <w:pStyle w:val="ListParagraph"/>
        <w:numPr>
          <w:ilvl w:val="0"/>
          <w:numId w:val="9"/>
        </w:numPr>
        <w:rPr>
          <w:sz w:val="24"/>
          <w:szCs w:val="24"/>
        </w:rPr>
      </w:pPr>
      <w:r>
        <w:rPr>
          <w:b/>
          <w:sz w:val="24"/>
          <w:szCs w:val="24"/>
        </w:rPr>
        <w:t>BTL Mortgage Risk Weightings Are Likely to Increase from 35% to 90%:</w:t>
      </w:r>
      <w:r>
        <w:rPr>
          <w:sz w:val="24"/>
          <w:szCs w:val="24"/>
        </w:rPr>
        <w:t xml:space="preserve"> While this change is </w:t>
      </w:r>
      <w:r w:rsidRPr="00C95ABD">
        <w:rPr>
          <w:i/>
          <w:sz w:val="24"/>
          <w:szCs w:val="24"/>
        </w:rPr>
        <w:t>not</w:t>
      </w:r>
      <w:r>
        <w:rPr>
          <w:sz w:val="24"/>
          <w:szCs w:val="24"/>
        </w:rPr>
        <w:t xml:space="preserve"> certain and may take effect </w:t>
      </w:r>
      <w:r w:rsidR="00186AA6">
        <w:rPr>
          <w:sz w:val="24"/>
          <w:szCs w:val="24"/>
        </w:rPr>
        <w:t xml:space="preserve">only </w:t>
      </w:r>
      <w:r>
        <w:rPr>
          <w:sz w:val="24"/>
          <w:szCs w:val="24"/>
        </w:rPr>
        <w:t xml:space="preserve">in FY19, the company will have to begin setting aside extra regulatory capital if </w:t>
      </w:r>
      <w:r w:rsidR="00B120C7">
        <w:rPr>
          <w:sz w:val="24"/>
          <w:szCs w:val="24"/>
        </w:rPr>
        <w:t xml:space="preserve">it </w:t>
      </w:r>
      <w:r w:rsidRPr="00510981">
        <w:rPr>
          <w:noProof/>
          <w:sz w:val="24"/>
          <w:szCs w:val="24"/>
        </w:rPr>
        <w:t>is announced</w:t>
      </w:r>
      <w:r>
        <w:rPr>
          <w:sz w:val="24"/>
          <w:szCs w:val="24"/>
        </w:rPr>
        <w:t xml:space="preserve"> anytime soon. UK regulators are currently considering whether or not to adopt this suggestion from the Basel Committee. </w:t>
      </w:r>
      <w:r w:rsidR="00A70556" w:rsidRPr="00510981">
        <w:rPr>
          <w:noProof/>
          <w:sz w:val="24"/>
          <w:szCs w:val="24"/>
        </w:rPr>
        <w:t>I</w:t>
      </w:r>
      <w:r w:rsidRPr="00510981">
        <w:rPr>
          <w:noProof/>
          <w:sz w:val="24"/>
          <w:szCs w:val="24"/>
        </w:rPr>
        <w:t>f you assume that Risk-Weighted Assets as a percentage of Interest-Earning</w:t>
      </w:r>
      <w:r w:rsidR="00B120C7" w:rsidRPr="00510981">
        <w:rPr>
          <w:noProof/>
          <w:sz w:val="24"/>
          <w:szCs w:val="24"/>
        </w:rPr>
        <w:t xml:space="preserve"> Assets increase from 62.5% to 80.0% rather than 70.0% </w:t>
      </w:r>
      <w:r w:rsidRPr="00510981">
        <w:rPr>
          <w:noProof/>
          <w:sz w:val="24"/>
          <w:szCs w:val="24"/>
        </w:rPr>
        <w:t xml:space="preserve">over five years, </w:t>
      </w:r>
      <w:r w:rsidR="00A70556" w:rsidRPr="00510981">
        <w:rPr>
          <w:noProof/>
          <w:sz w:val="24"/>
          <w:szCs w:val="24"/>
        </w:rPr>
        <w:t xml:space="preserve">the company’s implied value barely changes (~3% difference in the DDM </w:t>
      </w:r>
      <w:r w:rsidR="00A70556" w:rsidRPr="00510981">
        <w:rPr>
          <w:i/>
          <w:noProof/>
          <w:sz w:val="24"/>
          <w:szCs w:val="24"/>
        </w:rPr>
        <w:t>with</w:t>
      </w:r>
      <w:r w:rsidR="00A70556" w:rsidRPr="00510981">
        <w:rPr>
          <w:noProof/>
          <w:sz w:val="24"/>
          <w:szCs w:val="24"/>
        </w:rPr>
        <w:t xml:space="preserve"> this assumption extended over 15 years).</w:t>
      </w:r>
    </w:p>
    <w:p w:rsidR="00A70556" w:rsidRDefault="00A70556" w:rsidP="00A70556">
      <w:pPr>
        <w:pStyle w:val="ListParagraph"/>
        <w:rPr>
          <w:b/>
          <w:sz w:val="24"/>
          <w:szCs w:val="24"/>
        </w:rPr>
      </w:pPr>
    </w:p>
    <w:p w:rsidR="00A70556" w:rsidRDefault="00A70556" w:rsidP="00A70556">
      <w:pPr>
        <w:pStyle w:val="ListParagraph"/>
        <w:rPr>
          <w:sz w:val="24"/>
          <w:szCs w:val="24"/>
        </w:rPr>
      </w:pPr>
      <w:r w:rsidRPr="00A70556">
        <w:rPr>
          <w:sz w:val="24"/>
          <w:szCs w:val="24"/>
        </w:rPr>
        <w:lastRenderedPageBreak/>
        <w:t xml:space="preserve">However, </w:t>
      </w:r>
      <w:r>
        <w:rPr>
          <w:sz w:val="24"/>
          <w:szCs w:val="24"/>
        </w:rPr>
        <w:t xml:space="preserve">the real impact of this change will likely be seen </w:t>
      </w:r>
      <w:r w:rsidR="00186AA6">
        <w:rPr>
          <w:sz w:val="24"/>
          <w:szCs w:val="24"/>
        </w:rPr>
        <w:t>in</w:t>
      </w:r>
      <w:r>
        <w:rPr>
          <w:sz w:val="24"/>
          <w:szCs w:val="24"/>
        </w:rPr>
        <w:t xml:space="preserve"> factor #1 above: slower-than-expected mo</w:t>
      </w:r>
      <w:r w:rsidR="00186AA6">
        <w:rPr>
          <w:sz w:val="24"/>
          <w:szCs w:val="24"/>
        </w:rPr>
        <w:t xml:space="preserve">rtgage (and </w:t>
      </w:r>
      <w:r w:rsidR="00186AA6" w:rsidRPr="00510981">
        <w:rPr>
          <w:noProof/>
          <w:sz w:val="24"/>
          <w:szCs w:val="24"/>
        </w:rPr>
        <w:t>other loan</w:t>
      </w:r>
      <w:r w:rsidR="00186AA6">
        <w:rPr>
          <w:sz w:val="24"/>
          <w:szCs w:val="24"/>
        </w:rPr>
        <w:t>) growth.</w:t>
      </w:r>
    </w:p>
    <w:p w:rsidR="005F4AE9" w:rsidRDefault="005F4AE9" w:rsidP="00B01AEC">
      <w:pPr>
        <w:rPr>
          <w:sz w:val="24"/>
          <w:szCs w:val="24"/>
        </w:rPr>
      </w:pPr>
      <w:r>
        <w:rPr>
          <w:sz w:val="24"/>
          <w:szCs w:val="24"/>
        </w:rPr>
        <w:t>To value Shawbrook, we created three scenarios</w:t>
      </w:r>
      <w:r w:rsidR="00186AA6">
        <w:rPr>
          <w:sz w:val="24"/>
          <w:szCs w:val="24"/>
        </w:rPr>
        <w:t xml:space="preserve"> in our model</w:t>
      </w:r>
      <w:r>
        <w:rPr>
          <w:sz w:val="24"/>
          <w:szCs w:val="24"/>
        </w:rPr>
        <w:t>: the Base Case, the Upsi</w:t>
      </w:r>
      <w:r w:rsidR="0065405D">
        <w:rPr>
          <w:sz w:val="24"/>
          <w:szCs w:val="24"/>
        </w:rPr>
        <w:t>de Case, and the Downside Case. T</w:t>
      </w:r>
      <w:r>
        <w:rPr>
          <w:sz w:val="24"/>
          <w:szCs w:val="24"/>
        </w:rPr>
        <w:t xml:space="preserve">he primary differences </w:t>
      </w:r>
      <w:r w:rsidRPr="00510981">
        <w:rPr>
          <w:noProof/>
          <w:sz w:val="24"/>
          <w:szCs w:val="24"/>
        </w:rPr>
        <w:t xml:space="preserve">are </w:t>
      </w:r>
      <w:r w:rsidR="00186AA6" w:rsidRPr="00510981">
        <w:rPr>
          <w:noProof/>
          <w:sz w:val="24"/>
          <w:szCs w:val="24"/>
        </w:rPr>
        <w:t>outlined</w:t>
      </w:r>
      <w:r w:rsidR="00186AA6">
        <w:rPr>
          <w:sz w:val="24"/>
          <w:szCs w:val="24"/>
        </w:rPr>
        <w:t xml:space="preserve"> </w:t>
      </w:r>
      <w:r>
        <w:rPr>
          <w:sz w:val="24"/>
          <w:szCs w:val="24"/>
        </w:rPr>
        <w:t>below:</w:t>
      </w:r>
    </w:p>
    <w:p w:rsidR="005F4AE9" w:rsidRDefault="005F4AE9" w:rsidP="00945C5F">
      <w:pPr>
        <w:pStyle w:val="ListParagraph"/>
        <w:numPr>
          <w:ilvl w:val="0"/>
          <w:numId w:val="10"/>
        </w:numPr>
        <w:rPr>
          <w:sz w:val="24"/>
          <w:szCs w:val="24"/>
        </w:rPr>
      </w:pPr>
      <w:r>
        <w:rPr>
          <w:b/>
          <w:sz w:val="24"/>
          <w:szCs w:val="24"/>
        </w:rPr>
        <w:t>LIBOR:</w:t>
      </w:r>
      <w:r w:rsidRPr="00D52200">
        <w:rPr>
          <w:sz w:val="24"/>
          <w:szCs w:val="24"/>
        </w:rPr>
        <w:t xml:space="preserve"> </w:t>
      </w:r>
      <w:r>
        <w:rPr>
          <w:sz w:val="24"/>
          <w:szCs w:val="24"/>
        </w:rPr>
        <w:t>Increases from 0.23% to 1.35% over five years in the Base Case, 1.55% in the Upside Case, and 1.05% in the Downside Case.</w:t>
      </w:r>
    </w:p>
    <w:p w:rsidR="005F4AE9" w:rsidRDefault="005F4AE9" w:rsidP="005F4AE9">
      <w:pPr>
        <w:pStyle w:val="ListParagraph"/>
        <w:rPr>
          <w:sz w:val="24"/>
          <w:szCs w:val="24"/>
        </w:rPr>
      </w:pPr>
    </w:p>
    <w:p w:rsidR="005F4AE9" w:rsidRDefault="005F4AE9" w:rsidP="00945C5F">
      <w:pPr>
        <w:pStyle w:val="ListParagraph"/>
        <w:numPr>
          <w:ilvl w:val="0"/>
          <w:numId w:val="10"/>
        </w:numPr>
        <w:rPr>
          <w:sz w:val="24"/>
          <w:szCs w:val="24"/>
        </w:rPr>
      </w:pPr>
      <w:r w:rsidRPr="00510981">
        <w:rPr>
          <w:b/>
          <w:noProof/>
          <w:sz w:val="24"/>
          <w:szCs w:val="24"/>
        </w:rPr>
        <w:t>UK Nominal GDP Growth Rate:</w:t>
      </w:r>
      <w:r w:rsidRPr="00510981">
        <w:rPr>
          <w:noProof/>
          <w:sz w:val="24"/>
          <w:szCs w:val="24"/>
        </w:rPr>
        <w:t xml:space="preserve"> 2.5% dropping to 2.0% by Year 5 in the Base Case; 3.0% to 3.5% in the Upside Case, and in the Downside Case, (3.0%) growth in each year of a 2-year recession followed by 1.0% and 2.0% growth in the recovery phase.</w:t>
      </w:r>
    </w:p>
    <w:p w:rsidR="005F4AE9" w:rsidRPr="00D52200" w:rsidRDefault="005F4AE9" w:rsidP="005F4AE9">
      <w:pPr>
        <w:pStyle w:val="ListParagraph"/>
        <w:rPr>
          <w:sz w:val="24"/>
          <w:szCs w:val="24"/>
        </w:rPr>
      </w:pPr>
    </w:p>
    <w:p w:rsidR="005F4AE9" w:rsidRDefault="005F4AE9" w:rsidP="00945C5F">
      <w:pPr>
        <w:pStyle w:val="ListParagraph"/>
        <w:numPr>
          <w:ilvl w:val="0"/>
          <w:numId w:val="10"/>
        </w:numPr>
        <w:rPr>
          <w:sz w:val="24"/>
          <w:szCs w:val="24"/>
        </w:rPr>
      </w:pPr>
      <w:r>
        <w:rPr>
          <w:b/>
          <w:sz w:val="24"/>
          <w:szCs w:val="24"/>
        </w:rPr>
        <w:t>Addressable Lending Market Share:</w:t>
      </w:r>
      <w:r>
        <w:rPr>
          <w:sz w:val="24"/>
          <w:szCs w:val="24"/>
        </w:rPr>
        <w:t xml:space="preserve"> This varies by segment, but in Commercial Mortgages the company’s share increases from 0.27% to 0.80% over five years in the Base Case, to 1.00% in the Upside Case, and to 0.70% in the Downside Case.</w:t>
      </w:r>
    </w:p>
    <w:p w:rsidR="005F4AE9" w:rsidRPr="00E35D65" w:rsidRDefault="005F4AE9" w:rsidP="005F4AE9">
      <w:pPr>
        <w:pStyle w:val="ListParagraph"/>
        <w:rPr>
          <w:sz w:val="24"/>
          <w:szCs w:val="24"/>
        </w:rPr>
      </w:pPr>
    </w:p>
    <w:p w:rsidR="005F4AE9" w:rsidRDefault="005F4AE9" w:rsidP="00945C5F">
      <w:pPr>
        <w:pStyle w:val="ListParagraph"/>
        <w:numPr>
          <w:ilvl w:val="0"/>
          <w:numId w:val="10"/>
        </w:numPr>
        <w:rPr>
          <w:sz w:val="24"/>
          <w:szCs w:val="24"/>
        </w:rPr>
      </w:pPr>
      <w:r w:rsidRPr="00510981">
        <w:rPr>
          <w:b/>
          <w:noProof/>
          <w:sz w:val="24"/>
          <w:szCs w:val="24"/>
        </w:rPr>
        <w:t>Net Charge-Offs and Provisions:</w:t>
      </w:r>
      <w:r w:rsidRPr="00510981">
        <w:rPr>
          <w:noProof/>
          <w:sz w:val="24"/>
          <w:szCs w:val="24"/>
        </w:rPr>
        <w:t xml:space="preserve"> These make a small difference because they’re such low percentages; the Base Case numbers in Commercial Mortgages increase by around 50% over five years, while the Upside Case goes up by only ~20% and the Downside Case goes up by almost 100% before settling down at a figure ~50% higher than the original one.</w:t>
      </w:r>
    </w:p>
    <w:p w:rsidR="005F4AE9" w:rsidRPr="00E35D65" w:rsidRDefault="005F4AE9" w:rsidP="005F4AE9">
      <w:pPr>
        <w:pStyle w:val="ListParagraph"/>
        <w:rPr>
          <w:sz w:val="24"/>
          <w:szCs w:val="24"/>
        </w:rPr>
      </w:pPr>
    </w:p>
    <w:p w:rsidR="005F4AE9" w:rsidRDefault="005F4AE9" w:rsidP="00945C5F">
      <w:pPr>
        <w:pStyle w:val="ListParagraph"/>
        <w:numPr>
          <w:ilvl w:val="0"/>
          <w:numId w:val="10"/>
        </w:numPr>
        <w:rPr>
          <w:sz w:val="24"/>
          <w:szCs w:val="24"/>
        </w:rPr>
      </w:pPr>
      <w:r>
        <w:rPr>
          <w:b/>
          <w:sz w:val="24"/>
          <w:szCs w:val="24"/>
        </w:rPr>
        <w:t xml:space="preserve">Long-Term ROTCE in the Dividend Discount Model: </w:t>
      </w:r>
      <w:r w:rsidRPr="00E35D65">
        <w:rPr>
          <w:sz w:val="24"/>
          <w:szCs w:val="24"/>
        </w:rPr>
        <w:t>The B</w:t>
      </w:r>
      <w:r>
        <w:rPr>
          <w:sz w:val="24"/>
          <w:szCs w:val="24"/>
        </w:rPr>
        <w:t xml:space="preserve">ase Case </w:t>
      </w:r>
      <w:r w:rsidR="00AD12D6">
        <w:rPr>
          <w:sz w:val="24"/>
          <w:szCs w:val="24"/>
        </w:rPr>
        <w:t xml:space="preserve">progresses </w:t>
      </w:r>
      <w:r>
        <w:rPr>
          <w:sz w:val="24"/>
          <w:szCs w:val="24"/>
        </w:rPr>
        <w:t xml:space="preserve">from 17-18% down to 12% over </w:t>
      </w:r>
      <w:r>
        <w:rPr>
          <w:noProof/>
          <w:sz w:val="24"/>
          <w:szCs w:val="24"/>
        </w:rPr>
        <w:t>ten</w:t>
      </w:r>
      <w:r>
        <w:rPr>
          <w:sz w:val="24"/>
          <w:szCs w:val="24"/>
        </w:rPr>
        <w:t xml:space="preserve"> years; the Downside Case goes from 14-15% down to </w:t>
      </w:r>
      <w:r>
        <w:rPr>
          <w:noProof/>
          <w:sz w:val="24"/>
          <w:szCs w:val="24"/>
        </w:rPr>
        <w:t xml:space="preserve">11%, </w:t>
      </w:r>
      <w:r w:rsidRPr="00013E86">
        <w:rPr>
          <w:noProof/>
          <w:sz w:val="24"/>
          <w:szCs w:val="24"/>
        </w:rPr>
        <w:t>and</w:t>
      </w:r>
      <w:r>
        <w:rPr>
          <w:sz w:val="24"/>
          <w:szCs w:val="24"/>
        </w:rPr>
        <w:t xml:space="preserve"> the Upside Case goes from 20-21% down to 14%.</w:t>
      </w:r>
    </w:p>
    <w:p w:rsidR="005F4AE9" w:rsidRPr="00E35D65" w:rsidRDefault="005F4AE9" w:rsidP="005F4AE9">
      <w:pPr>
        <w:pStyle w:val="ListParagraph"/>
        <w:rPr>
          <w:sz w:val="24"/>
          <w:szCs w:val="24"/>
        </w:rPr>
      </w:pPr>
    </w:p>
    <w:p w:rsidR="005F4AE9" w:rsidRPr="00E35D65" w:rsidRDefault="005F4AE9" w:rsidP="00945C5F">
      <w:pPr>
        <w:pStyle w:val="ListParagraph"/>
        <w:numPr>
          <w:ilvl w:val="0"/>
          <w:numId w:val="10"/>
        </w:numPr>
        <w:rPr>
          <w:sz w:val="24"/>
          <w:szCs w:val="24"/>
        </w:rPr>
      </w:pPr>
      <w:r>
        <w:rPr>
          <w:b/>
          <w:sz w:val="24"/>
          <w:szCs w:val="24"/>
        </w:rPr>
        <w:t>Long-Term Asset Growth in the Dividend Discount Model:</w:t>
      </w:r>
      <w:r>
        <w:rPr>
          <w:sz w:val="24"/>
          <w:szCs w:val="24"/>
        </w:rPr>
        <w:t xml:space="preserve"> </w:t>
      </w:r>
      <w:r w:rsidRPr="00E35D65">
        <w:rPr>
          <w:sz w:val="24"/>
          <w:szCs w:val="24"/>
        </w:rPr>
        <w:t>The B</w:t>
      </w:r>
      <w:r>
        <w:rPr>
          <w:sz w:val="24"/>
          <w:szCs w:val="24"/>
        </w:rPr>
        <w:t xml:space="preserve">ase Case </w:t>
      </w:r>
      <w:r w:rsidR="00AD12D6">
        <w:rPr>
          <w:sz w:val="24"/>
          <w:szCs w:val="24"/>
        </w:rPr>
        <w:t>progresses</w:t>
      </w:r>
      <w:r>
        <w:rPr>
          <w:sz w:val="24"/>
          <w:szCs w:val="24"/>
        </w:rPr>
        <w:t xml:space="preserve"> from 12-13% down to 7% over </w:t>
      </w:r>
      <w:r>
        <w:rPr>
          <w:noProof/>
          <w:sz w:val="24"/>
          <w:szCs w:val="24"/>
        </w:rPr>
        <w:t>ten</w:t>
      </w:r>
      <w:r>
        <w:rPr>
          <w:sz w:val="24"/>
          <w:szCs w:val="24"/>
        </w:rPr>
        <w:t xml:space="preserve"> years; the Downside Case goes from 13-14% down to </w:t>
      </w:r>
      <w:r w:rsidRPr="00013E86">
        <w:rPr>
          <w:noProof/>
          <w:sz w:val="24"/>
          <w:szCs w:val="24"/>
        </w:rPr>
        <w:t>6%,</w:t>
      </w:r>
      <w:r>
        <w:rPr>
          <w:noProof/>
          <w:sz w:val="24"/>
          <w:szCs w:val="24"/>
        </w:rPr>
        <w:t xml:space="preserve"> </w:t>
      </w:r>
      <w:r w:rsidRPr="00013E86">
        <w:rPr>
          <w:noProof/>
          <w:sz w:val="24"/>
          <w:szCs w:val="24"/>
        </w:rPr>
        <w:t>and</w:t>
      </w:r>
      <w:r>
        <w:rPr>
          <w:sz w:val="24"/>
          <w:szCs w:val="24"/>
        </w:rPr>
        <w:t xml:space="preserve"> the Upside Case goes from 14-15% down to 8%.</w:t>
      </w:r>
    </w:p>
    <w:p w:rsidR="005F4AE9" w:rsidRDefault="00AD12D6" w:rsidP="00B01AEC">
      <w:pPr>
        <w:rPr>
          <w:sz w:val="24"/>
          <w:szCs w:val="24"/>
        </w:rPr>
      </w:pPr>
      <w:r>
        <w:rPr>
          <w:sz w:val="24"/>
          <w:szCs w:val="24"/>
        </w:rPr>
        <w:t>T</w:t>
      </w:r>
      <w:r w:rsidR="005F4AE9">
        <w:rPr>
          <w:sz w:val="24"/>
          <w:szCs w:val="24"/>
        </w:rPr>
        <w:t xml:space="preserve">he company is much more likely to follow the </w:t>
      </w:r>
      <w:r w:rsidR="005F4AE9" w:rsidRPr="00AD12D6">
        <w:rPr>
          <w:b/>
          <w:sz w:val="24"/>
          <w:szCs w:val="24"/>
        </w:rPr>
        <w:t>Base or Downside Case</w:t>
      </w:r>
      <w:r w:rsidR="005F4AE9">
        <w:rPr>
          <w:sz w:val="24"/>
          <w:szCs w:val="24"/>
        </w:rPr>
        <w:t xml:space="preserve"> rather than the Upside Case </w:t>
      </w:r>
      <w:r>
        <w:rPr>
          <w:sz w:val="24"/>
          <w:szCs w:val="24"/>
        </w:rPr>
        <w:t xml:space="preserve">because </w:t>
      </w:r>
      <w:r w:rsidR="005F4AE9">
        <w:rPr>
          <w:sz w:val="24"/>
          <w:szCs w:val="24"/>
        </w:rPr>
        <w:t xml:space="preserve">GDP growth, LIBOR, and long-term ROTCE all seem too high in that scenario. </w:t>
      </w:r>
    </w:p>
    <w:p w:rsidR="005F4AE9" w:rsidRDefault="005F4AE9" w:rsidP="00B01AEC">
      <w:pPr>
        <w:rPr>
          <w:sz w:val="24"/>
          <w:szCs w:val="24"/>
        </w:rPr>
      </w:pPr>
      <w:r>
        <w:rPr>
          <w:sz w:val="24"/>
          <w:szCs w:val="24"/>
        </w:rPr>
        <w:lastRenderedPageBreak/>
        <w:t xml:space="preserve">Our </w:t>
      </w:r>
      <w:r w:rsidR="00AD12D6">
        <w:rPr>
          <w:sz w:val="24"/>
          <w:szCs w:val="24"/>
        </w:rPr>
        <w:t xml:space="preserve">15-year </w:t>
      </w:r>
      <w:r>
        <w:rPr>
          <w:sz w:val="24"/>
          <w:szCs w:val="24"/>
        </w:rPr>
        <w:t xml:space="preserve">DDM shows the company as overvalued by ~50% in the Downside Case, ~30% in the Base Case, and undervalued by ~30% in the Upside Case. </w:t>
      </w:r>
      <w:r w:rsidRPr="00AD12D6">
        <w:rPr>
          <w:b/>
          <w:sz w:val="24"/>
          <w:szCs w:val="24"/>
        </w:rPr>
        <w:t>We believe there is a far greater chance of the company’s stock price declining by 30-50% than there is of it increasing by 30%.</w:t>
      </w:r>
    </w:p>
    <w:p w:rsidR="00B01AEC" w:rsidRDefault="005F4AE9" w:rsidP="00B01AEC">
      <w:pPr>
        <w:rPr>
          <w:sz w:val="24"/>
          <w:szCs w:val="24"/>
        </w:rPr>
      </w:pPr>
      <w:r>
        <w:rPr>
          <w:sz w:val="24"/>
          <w:szCs w:val="24"/>
        </w:rPr>
        <w:t xml:space="preserve">Even if some of the </w:t>
      </w:r>
      <w:r w:rsidR="0065405D">
        <w:rPr>
          <w:sz w:val="24"/>
          <w:szCs w:val="24"/>
        </w:rPr>
        <w:t xml:space="preserve">factors </w:t>
      </w:r>
      <w:r>
        <w:rPr>
          <w:sz w:val="24"/>
          <w:szCs w:val="24"/>
        </w:rPr>
        <w:t xml:space="preserve">above turn out to be incorrect, </w:t>
      </w:r>
      <w:r w:rsidR="00B01AEC" w:rsidRPr="00D64336">
        <w:rPr>
          <w:sz w:val="24"/>
          <w:szCs w:val="24"/>
          <w:u w:val="single"/>
        </w:rPr>
        <w:t>any one or two</w:t>
      </w:r>
      <w:r w:rsidR="00B01AEC">
        <w:rPr>
          <w:sz w:val="24"/>
          <w:szCs w:val="24"/>
        </w:rPr>
        <w:t xml:space="preserve"> </w:t>
      </w:r>
      <w:r w:rsidR="00B01AEC" w:rsidRPr="00400DEC">
        <w:rPr>
          <w:sz w:val="24"/>
          <w:szCs w:val="24"/>
        </w:rPr>
        <w:t xml:space="preserve">of </w:t>
      </w:r>
      <w:r w:rsidR="0065405D">
        <w:rPr>
          <w:sz w:val="24"/>
          <w:szCs w:val="24"/>
        </w:rPr>
        <w:t xml:space="preserve">them </w:t>
      </w:r>
      <w:r w:rsidR="00B01AEC" w:rsidRPr="00400DEC">
        <w:rPr>
          <w:sz w:val="24"/>
          <w:szCs w:val="24"/>
        </w:rPr>
        <w:t xml:space="preserve">represents a significant difference from the current market view of the stock and could result in </w:t>
      </w:r>
      <w:r>
        <w:rPr>
          <w:sz w:val="24"/>
          <w:szCs w:val="24"/>
        </w:rPr>
        <w:t>a substantial gain.</w:t>
      </w:r>
    </w:p>
    <w:p w:rsidR="005F4AE9" w:rsidRPr="00400DEC" w:rsidRDefault="005F4AE9" w:rsidP="00B01AEC">
      <w:pPr>
        <w:rPr>
          <w:sz w:val="24"/>
          <w:szCs w:val="24"/>
        </w:rPr>
      </w:pPr>
      <w:r>
        <w:rPr>
          <w:sz w:val="24"/>
          <w:szCs w:val="24"/>
        </w:rPr>
        <w:t xml:space="preserve">If everything above turns out to be false, there is a modest chance that Shawbrook could </w:t>
      </w:r>
      <w:r w:rsidRPr="00510981">
        <w:rPr>
          <w:noProof/>
          <w:sz w:val="24"/>
          <w:szCs w:val="24"/>
        </w:rPr>
        <w:t>be undervalued</w:t>
      </w:r>
      <w:r>
        <w:rPr>
          <w:sz w:val="24"/>
          <w:szCs w:val="24"/>
        </w:rPr>
        <w:t xml:space="preserve"> and that its stock price could increase</w:t>
      </w:r>
      <w:r w:rsidR="008C6E7C">
        <w:rPr>
          <w:sz w:val="24"/>
          <w:szCs w:val="24"/>
        </w:rPr>
        <w:t xml:space="preserve"> substantially</w:t>
      </w:r>
      <w:r>
        <w:rPr>
          <w:sz w:val="24"/>
          <w:szCs w:val="24"/>
        </w:rPr>
        <w:t xml:space="preserve"> – however, we could hedge against this </w:t>
      </w:r>
      <w:r w:rsidR="008C6E7C">
        <w:rPr>
          <w:sz w:val="24"/>
          <w:szCs w:val="24"/>
        </w:rPr>
        <w:t xml:space="preserve">risk by purchasing </w:t>
      </w:r>
      <w:r>
        <w:rPr>
          <w:sz w:val="24"/>
          <w:szCs w:val="24"/>
        </w:rPr>
        <w:t>call options and longing other commercial banks</w:t>
      </w:r>
      <w:r w:rsidR="008C6E7C">
        <w:rPr>
          <w:sz w:val="24"/>
          <w:szCs w:val="24"/>
        </w:rPr>
        <w:t>.</w:t>
      </w:r>
    </w:p>
    <w:p w:rsidR="00EA1047" w:rsidRDefault="00CA70EF" w:rsidP="00B01AEC">
      <w:pPr>
        <w:rPr>
          <w:sz w:val="24"/>
          <w:szCs w:val="24"/>
        </w:rPr>
      </w:pPr>
      <w:hyperlink w:anchor="Top" w:history="1">
        <w:r w:rsidR="00EA1047" w:rsidRPr="00EA1047">
          <w:rPr>
            <w:rStyle w:val="Hyperlink"/>
            <w:sz w:val="24"/>
            <w:szCs w:val="24"/>
          </w:rPr>
          <w:t>Return to Top</w:t>
        </w:r>
      </w:hyperlink>
      <w:r w:rsidR="00EA1047">
        <w:rPr>
          <w:sz w:val="24"/>
          <w:szCs w:val="24"/>
        </w:rPr>
        <w:t>.</w:t>
      </w:r>
    </w:p>
    <w:p w:rsidR="00B01AEC" w:rsidRPr="00400DEC" w:rsidRDefault="00B01AEC" w:rsidP="00EA1047">
      <w:pPr>
        <w:pBdr>
          <w:bottom w:val="single" w:sz="6" w:space="0" w:color="auto"/>
        </w:pBdr>
        <w:rPr>
          <w:b/>
          <w:sz w:val="24"/>
          <w:szCs w:val="24"/>
        </w:rPr>
      </w:pPr>
      <w:bookmarkStart w:id="4" w:name="Catalysts"/>
      <w:r w:rsidRPr="00400DEC">
        <w:rPr>
          <w:b/>
          <w:sz w:val="24"/>
          <w:szCs w:val="24"/>
        </w:rPr>
        <w:t>Catalysts</w:t>
      </w:r>
    </w:p>
    <w:bookmarkEnd w:id="4"/>
    <w:p w:rsidR="00B01AEC" w:rsidRDefault="00B01AEC" w:rsidP="00B01AEC">
      <w:pPr>
        <w:rPr>
          <w:sz w:val="24"/>
          <w:szCs w:val="24"/>
        </w:rPr>
      </w:pPr>
      <w:r w:rsidRPr="00400DEC">
        <w:rPr>
          <w:sz w:val="24"/>
          <w:szCs w:val="24"/>
        </w:rPr>
        <w:t>Catalysts in the next 6-12 months include:</w:t>
      </w:r>
    </w:p>
    <w:p w:rsidR="005F4AE9" w:rsidRPr="005F4AE9" w:rsidRDefault="005F4AE9" w:rsidP="00945C5F">
      <w:pPr>
        <w:pStyle w:val="ListParagraph"/>
        <w:numPr>
          <w:ilvl w:val="0"/>
          <w:numId w:val="11"/>
        </w:numPr>
        <w:rPr>
          <w:sz w:val="24"/>
          <w:szCs w:val="24"/>
        </w:rPr>
      </w:pPr>
      <w:r w:rsidRPr="005F4AE9">
        <w:rPr>
          <w:sz w:val="24"/>
          <w:szCs w:val="24"/>
        </w:rPr>
        <w:t>Risk weightings on BTL mortg</w:t>
      </w:r>
      <w:r w:rsidR="004C348E">
        <w:rPr>
          <w:sz w:val="24"/>
          <w:szCs w:val="24"/>
        </w:rPr>
        <w:t>ages increasing from 35% to 90% (the announcement alone will trigger a change in banks’ policies).</w:t>
      </w:r>
    </w:p>
    <w:p w:rsidR="005F4AE9" w:rsidRPr="005F4AE9" w:rsidRDefault="005F4AE9" w:rsidP="00945C5F">
      <w:pPr>
        <w:pStyle w:val="ListParagraph"/>
        <w:numPr>
          <w:ilvl w:val="0"/>
          <w:numId w:val="11"/>
        </w:numPr>
        <w:rPr>
          <w:sz w:val="24"/>
          <w:szCs w:val="24"/>
        </w:rPr>
      </w:pPr>
      <w:r w:rsidRPr="005F4AE9">
        <w:rPr>
          <w:sz w:val="24"/>
          <w:szCs w:val="24"/>
        </w:rPr>
        <w:t xml:space="preserve">A slowdown in loan growth, </w:t>
      </w:r>
      <w:r w:rsidR="0065405D">
        <w:rPr>
          <w:sz w:val="24"/>
          <w:szCs w:val="24"/>
        </w:rPr>
        <w:t>which will trigger commercial mortgage</w:t>
      </w:r>
      <w:r w:rsidRPr="005F4AE9">
        <w:rPr>
          <w:sz w:val="24"/>
          <w:szCs w:val="24"/>
        </w:rPr>
        <w:t xml:space="preserve"> </w:t>
      </w:r>
      <w:r w:rsidR="0065405D">
        <w:rPr>
          <w:sz w:val="24"/>
          <w:szCs w:val="24"/>
        </w:rPr>
        <w:t xml:space="preserve">growth of </w:t>
      </w:r>
      <w:r w:rsidRPr="005F4AE9">
        <w:rPr>
          <w:sz w:val="24"/>
          <w:szCs w:val="24"/>
        </w:rPr>
        <w:t>only ~3x over the next five years.</w:t>
      </w:r>
    </w:p>
    <w:p w:rsidR="005F4AE9" w:rsidRPr="005F4AE9" w:rsidRDefault="005F4AE9" w:rsidP="00945C5F">
      <w:pPr>
        <w:pStyle w:val="ListParagraph"/>
        <w:numPr>
          <w:ilvl w:val="0"/>
          <w:numId w:val="11"/>
        </w:numPr>
        <w:rPr>
          <w:sz w:val="24"/>
          <w:szCs w:val="24"/>
        </w:rPr>
      </w:pPr>
      <w:r w:rsidRPr="005F4AE9">
        <w:rPr>
          <w:sz w:val="24"/>
          <w:szCs w:val="24"/>
        </w:rPr>
        <w:t xml:space="preserve">A </w:t>
      </w:r>
      <w:r w:rsidR="0065405D">
        <w:rPr>
          <w:sz w:val="24"/>
          <w:szCs w:val="24"/>
        </w:rPr>
        <w:t xml:space="preserve">~1% </w:t>
      </w:r>
      <w:r w:rsidRPr="005F4AE9">
        <w:rPr>
          <w:sz w:val="24"/>
          <w:szCs w:val="24"/>
        </w:rPr>
        <w:t xml:space="preserve">compression of loan interest spreads as more competitors enter the market, and a </w:t>
      </w:r>
      <w:r w:rsidR="004C348E">
        <w:rPr>
          <w:sz w:val="24"/>
          <w:szCs w:val="24"/>
        </w:rPr>
        <w:t xml:space="preserve">funding cost increase of 0.3% – </w:t>
      </w:r>
      <w:r w:rsidRPr="005F4AE9">
        <w:rPr>
          <w:sz w:val="24"/>
          <w:szCs w:val="24"/>
        </w:rPr>
        <w:t>0.5%.</w:t>
      </w:r>
    </w:p>
    <w:p w:rsidR="005F4AE9" w:rsidRPr="005F4AE9" w:rsidRDefault="005F4AE9" w:rsidP="00945C5F">
      <w:pPr>
        <w:pStyle w:val="ListParagraph"/>
        <w:numPr>
          <w:ilvl w:val="0"/>
          <w:numId w:val="11"/>
        </w:numPr>
        <w:rPr>
          <w:sz w:val="24"/>
          <w:szCs w:val="24"/>
        </w:rPr>
      </w:pPr>
      <w:r w:rsidRPr="005F4AE9">
        <w:rPr>
          <w:sz w:val="24"/>
          <w:szCs w:val="24"/>
        </w:rPr>
        <w:t>The expiration of the lockup period on Pollen Street Capital's 45% stake.</w:t>
      </w:r>
    </w:p>
    <w:p w:rsidR="0065405D" w:rsidRDefault="0065405D" w:rsidP="00B01AEC">
      <w:pPr>
        <w:rPr>
          <w:sz w:val="24"/>
          <w:szCs w:val="24"/>
        </w:rPr>
      </w:pPr>
      <w:r w:rsidRPr="00510981">
        <w:rPr>
          <w:noProof/>
          <w:sz w:val="24"/>
          <w:szCs w:val="24"/>
        </w:rPr>
        <w:t>Catalysts #1 and #2 are interrelated and, together, make the most significant valuation impact; catalyst #3 also makes a big impact because lower interest spreads on loans and higher funding costs, when carried through all 15 years of our dividend discount model, reduce the company’s intrinsic value by ~10%.</w:t>
      </w:r>
    </w:p>
    <w:p w:rsidR="0065405D" w:rsidRDefault="0065405D" w:rsidP="0065405D">
      <w:pPr>
        <w:rPr>
          <w:sz w:val="24"/>
          <w:szCs w:val="24"/>
        </w:rPr>
      </w:pPr>
      <w:r>
        <w:rPr>
          <w:sz w:val="24"/>
          <w:szCs w:val="24"/>
        </w:rPr>
        <w:t>The fourth catalyst does not directly impact the company’s intrinsic value, but it could trigger a wider sell-off of the stock.</w:t>
      </w:r>
    </w:p>
    <w:p w:rsidR="0065405D" w:rsidRDefault="0065405D" w:rsidP="00B01AEC">
      <w:pPr>
        <w:rPr>
          <w:sz w:val="24"/>
          <w:szCs w:val="24"/>
        </w:rPr>
      </w:pPr>
      <w:r>
        <w:rPr>
          <w:sz w:val="24"/>
          <w:szCs w:val="24"/>
        </w:rPr>
        <w:t>To determine the per-</w:t>
      </w:r>
      <w:r w:rsidR="00B01AEC">
        <w:rPr>
          <w:sz w:val="24"/>
          <w:szCs w:val="24"/>
        </w:rPr>
        <w:t xml:space="preserve">share impact from these catalysts, we rely upon our </w:t>
      </w:r>
      <w:r>
        <w:rPr>
          <w:sz w:val="24"/>
          <w:szCs w:val="24"/>
        </w:rPr>
        <w:t xml:space="preserve">Base Case </w:t>
      </w:r>
      <w:r w:rsidR="00B01AEC" w:rsidRPr="00510981">
        <w:rPr>
          <w:noProof/>
          <w:sz w:val="24"/>
          <w:szCs w:val="24"/>
        </w:rPr>
        <w:t>financial</w:t>
      </w:r>
      <w:r w:rsidR="00B01AEC">
        <w:rPr>
          <w:sz w:val="24"/>
          <w:szCs w:val="24"/>
        </w:rPr>
        <w:t xml:space="preserve"> projections for </w:t>
      </w:r>
      <w:r>
        <w:rPr>
          <w:sz w:val="24"/>
          <w:szCs w:val="24"/>
        </w:rPr>
        <w:t>Shawbrook</w:t>
      </w:r>
      <w:r w:rsidR="00B01AEC">
        <w:rPr>
          <w:sz w:val="24"/>
          <w:szCs w:val="24"/>
        </w:rPr>
        <w:t xml:space="preserve">, which reflect the impact of all these catalysts </w:t>
      </w:r>
      <w:r w:rsidR="00B01AEC">
        <w:rPr>
          <w:sz w:val="24"/>
          <w:szCs w:val="24"/>
          <w:u w:val="single"/>
        </w:rPr>
        <w:t>together</w:t>
      </w:r>
      <w:r w:rsidR="00B01AEC">
        <w:rPr>
          <w:sz w:val="24"/>
          <w:szCs w:val="24"/>
        </w:rPr>
        <w:t xml:space="preserve">, </w:t>
      </w:r>
      <w:r>
        <w:rPr>
          <w:sz w:val="24"/>
          <w:szCs w:val="24"/>
        </w:rPr>
        <w:t xml:space="preserve">as well as Upside </w:t>
      </w:r>
      <w:r w:rsidR="008C6E7C">
        <w:rPr>
          <w:sz w:val="24"/>
          <w:szCs w:val="24"/>
        </w:rPr>
        <w:t xml:space="preserve">Case </w:t>
      </w:r>
      <w:r>
        <w:rPr>
          <w:sz w:val="24"/>
          <w:szCs w:val="24"/>
        </w:rPr>
        <w:t>projections that</w:t>
      </w:r>
      <w:r w:rsidR="008C6E7C">
        <w:rPr>
          <w:sz w:val="24"/>
          <w:szCs w:val="24"/>
        </w:rPr>
        <w:t xml:space="preserve"> are closer to research analysts’ </w:t>
      </w:r>
      <w:r>
        <w:rPr>
          <w:sz w:val="24"/>
          <w:szCs w:val="24"/>
        </w:rPr>
        <w:t>estimates.</w:t>
      </w:r>
    </w:p>
    <w:p w:rsidR="0065405D" w:rsidRDefault="0065405D" w:rsidP="00B01AEC">
      <w:pPr>
        <w:rPr>
          <w:sz w:val="24"/>
          <w:szCs w:val="24"/>
        </w:rPr>
      </w:pPr>
      <w:r>
        <w:rPr>
          <w:sz w:val="24"/>
          <w:szCs w:val="24"/>
        </w:rPr>
        <w:lastRenderedPageBreak/>
        <w:t xml:space="preserve">We also created Downside Case financial projections that show </w:t>
      </w:r>
      <w:r w:rsidR="008C6E7C">
        <w:rPr>
          <w:sz w:val="24"/>
          <w:szCs w:val="24"/>
        </w:rPr>
        <w:t xml:space="preserve">the impact of </w:t>
      </w:r>
      <w:r>
        <w:rPr>
          <w:sz w:val="24"/>
          <w:szCs w:val="24"/>
        </w:rPr>
        <w:t>a 2-year recession with 3% GDP declines followed by a recovery.</w:t>
      </w:r>
    </w:p>
    <w:p w:rsidR="00B01AEC" w:rsidRDefault="00B01AEC" w:rsidP="00B01AEC">
      <w:pPr>
        <w:rPr>
          <w:sz w:val="24"/>
          <w:szCs w:val="24"/>
        </w:rPr>
      </w:pPr>
      <w:r>
        <w:rPr>
          <w:sz w:val="24"/>
          <w:szCs w:val="24"/>
        </w:rPr>
        <w:t xml:space="preserve">We rely primarily on </w:t>
      </w:r>
      <w:r w:rsidR="00C81BB3">
        <w:rPr>
          <w:sz w:val="24"/>
          <w:szCs w:val="24"/>
        </w:rPr>
        <w:t xml:space="preserve">the </w:t>
      </w:r>
      <w:r w:rsidR="0065405D">
        <w:rPr>
          <w:sz w:val="24"/>
          <w:szCs w:val="24"/>
        </w:rPr>
        <w:t>Dividend Discount Model (DDM)</w:t>
      </w:r>
      <w:r w:rsidR="00C81BB3">
        <w:rPr>
          <w:sz w:val="24"/>
          <w:szCs w:val="24"/>
        </w:rPr>
        <w:t xml:space="preserve"> </w:t>
      </w:r>
      <w:r>
        <w:rPr>
          <w:sz w:val="24"/>
          <w:szCs w:val="24"/>
        </w:rPr>
        <w:t>to illustrate the impact of these catalysts</w:t>
      </w:r>
      <w:r w:rsidR="0065405D">
        <w:rPr>
          <w:sz w:val="24"/>
          <w:szCs w:val="24"/>
        </w:rPr>
        <w:t xml:space="preserve">. </w:t>
      </w:r>
      <w:r w:rsidR="0065405D" w:rsidRPr="003D3234">
        <w:rPr>
          <w:b/>
          <w:sz w:val="24"/>
          <w:szCs w:val="24"/>
        </w:rPr>
        <w:t>Many of these catalysts make a significant difference only in the long term, so the DDM is more appropriate than other methodologies.</w:t>
      </w:r>
    </w:p>
    <w:p w:rsidR="0065405D" w:rsidRDefault="004C348E" w:rsidP="00B01AEC">
      <w:pPr>
        <w:rPr>
          <w:sz w:val="24"/>
          <w:szCs w:val="24"/>
        </w:rPr>
      </w:pPr>
      <w:r>
        <w:rPr>
          <w:sz w:val="24"/>
          <w:szCs w:val="24"/>
        </w:rPr>
        <w:t xml:space="preserve">Also, we will group together catalysts #1 and #2 </w:t>
      </w:r>
      <w:r w:rsidR="00DB6D7C">
        <w:rPr>
          <w:sz w:val="24"/>
          <w:szCs w:val="24"/>
        </w:rPr>
        <w:t xml:space="preserve">in this discussion </w:t>
      </w:r>
      <w:r>
        <w:rPr>
          <w:sz w:val="24"/>
          <w:szCs w:val="24"/>
        </w:rPr>
        <w:t xml:space="preserve">because they </w:t>
      </w:r>
      <w:r w:rsidRPr="00510981">
        <w:rPr>
          <w:noProof/>
          <w:sz w:val="24"/>
          <w:szCs w:val="24"/>
        </w:rPr>
        <w:t>are interrelated</w:t>
      </w:r>
      <w:r>
        <w:rPr>
          <w:sz w:val="24"/>
          <w:szCs w:val="24"/>
        </w:rPr>
        <w:t xml:space="preserve"> and</w:t>
      </w:r>
      <w:r w:rsidR="00DB6D7C">
        <w:rPr>
          <w:sz w:val="24"/>
          <w:szCs w:val="24"/>
        </w:rPr>
        <w:t xml:space="preserve"> </w:t>
      </w:r>
      <w:r>
        <w:rPr>
          <w:sz w:val="24"/>
          <w:szCs w:val="24"/>
        </w:rPr>
        <w:t xml:space="preserve">the change in </w:t>
      </w:r>
      <w:r w:rsidR="00DB6D7C">
        <w:rPr>
          <w:sz w:val="24"/>
          <w:szCs w:val="24"/>
        </w:rPr>
        <w:t xml:space="preserve">BTL mortgage </w:t>
      </w:r>
      <w:r>
        <w:rPr>
          <w:sz w:val="24"/>
          <w:szCs w:val="24"/>
        </w:rPr>
        <w:t>risk weightings will likely result in slower loan growth.</w:t>
      </w:r>
    </w:p>
    <w:p w:rsidR="004C348E" w:rsidRDefault="004C348E" w:rsidP="00B01AEC">
      <w:pPr>
        <w:rPr>
          <w:sz w:val="24"/>
          <w:szCs w:val="24"/>
        </w:rPr>
      </w:pPr>
      <w:r>
        <w:rPr>
          <w:sz w:val="24"/>
          <w:szCs w:val="24"/>
        </w:rPr>
        <w:t xml:space="preserve">For reference, here is the output from the DDM under the “Base Case” assumptions but with GDP growth and </w:t>
      </w:r>
      <w:r w:rsidR="00390F90">
        <w:rPr>
          <w:sz w:val="24"/>
          <w:szCs w:val="24"/>
        </w:rPr>
        <w:t xml:space="preserve">Shawbrook’s commercial mortgage market share taken from the </w:t>
      </w:r>
      <w:r w:rsidR="00390F90" w:rsidRPr="00390F90">
        <w:rPr>
          <w:b/>
          <w:sz w:val="24"/>
          <w:szCs w:val="24"/>
        </w:rPr>
        <w:t>Upside Case</w:t>
      </w:r>
      <w:r w:rsidR="00390F90">
        <w:rPr>
          <w:sz w:val="24"/>
          <w:szCs w:val="24"/>
        </w:rPr>
        <w:t xml:space="preserve"> (resulting in </w:t>
      </w:r>
      <w:r w:rsidR="00390F90" w:rsidRPr="00390F90">
        <w:rPr>
          <w:b/>
          <w:sz w:val="24"/>
          <w:szCs w:val="24"/>
        </w:rPr>
        <w:t>4x</w:t>
      </w:r>
      <w:r w:rsidR="00390F90">
        <w:rPr>
          <w:sz w:val="24"/>
          <w:szCs w:val="24"/>
        </w:rPr>
        <w:t xml:space="preserve"> growth over five years rather than 3x growth):</w:t>
      </w:r>
    </w:p>
    <w:p w:rsidR="004C348E" w:rsidRDefault="00390F90" w:rsidP="00390F90">
      <w:pPr>
        <w:ind w:left="-1260"/>
        <w:rPr>
          <w:sz w:val="24"/>
          <w:szCs w:val="24"/>
        </w:rPr>
      </w:pPr>
      <w:r w:rsidRPr="00390F90">
        <w:rPr>
          <w:noProof/>
          <w:lang w:eastAsia="zh-CN"/>
        </w:rPr>
        <w:drawing>
          <wp:inline distT="0" distB="0" distL="0" distR="0" wp14:anchorId="2417EDB9" wp14:editId="4A76245A">
            <wp:extent cx="7538285" cy="1375576"/>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616512" cy="1389851"/>
                    </a:xfrm>
                    <a:prstGeom prst="rect">
                      <a:avLst/>
                    </a:prstGeom>
                  </pic:spPr>
                </pic:pic>
              </a:graphicData>
            </a:graphic>
          </wp:inline>
        </w:drawing>
      </w:r>
    </w:p>
    <w:p w:rsidR="00390F90" w:rsidRDefault="00390F90" w:rsidP="00B01AEC">
      <w:pPr>
        <w:rPr>
          <w:sz w:val="24"/>
          <w:szCs w:val="24"/>
        </w:rPr>
      </w:pPr>
      <w:r>
        <w:rPr>
          <w:sz w:val="24"/>
          <w:szCs w:val="24"/>
        </w:rPr>
        <w:t xml:space="preserve">Long-term ROTCE is still 12%, but it declines from 18% </w:t>
      </w:r>
      <w:r w:rsidR="00DB6D7C">
        <w:rPr>
          <w:sz w:val="24"/>
          <w:szCs w:val="24"/>
        </w:rPr>
        <w:t xml:space="preserve">initially </w:t>
      </w:r>
      <w:r>
        <w:rPr>
          <w:sz w:val="24"/>
          <w:szCs w:val="24"/>
        </w:rPr>
        <w:t xml:space="preserve">rather than 16%. Under these conditions, there is a small chance that the company might </w:t>
      </w:r>
      <w:r w:rsidRPr="00510981">
        <w:rPr>
          <w:noProof/>
          <w:sz w:val="24"/>
          <w:szCs w:val="24"/>
        </w:rPr>
        <w:t>be undervalued</w:t>
      </w:r>
      <w:r>
        <w:rPr>
          <w:sz w:val="24"/>
          <w:szCs w:val="24"/>
        </w:rPr>
        <w:t xml:space="preserve"> if you assume a lower Cost of Equity and higher long-term ROTCE.</w:t>
      </w:r>
    </w:p>
    <w:p w:rsidR="00390F90" w:rsidRDefault="00390F90" w:rsidP="00B01AEC">
      <w:pPr>
        <w:rPr>
          <w:sz w:val="24"/>
          <w:szCs w:val="24"/>
        </w:rPr>
      </w:pPr>
      <w:r>
        <w:rPr>
          <w:sz w:val="24"/>
          <w:szCs w:val="24"/>
        </w:rPr>
        <w:t xml:space="preserve">With both those assumptions removed, however, the company’s intrinsic value declines by nearly </w:t>
      </w:r>
      <w:r w:rsidRPr="00CA5030">
        <w:rPr>
          <w:sz w:val="24"/>
          <w:szCs w:val="24"/>
        </w:rPr>
        <w:t>£</w:t>
      </w:r>
      <w:r>
        <w:rPr>
          <w:sz w:val="24"/>
          <w:szCs w:val="24"/>
        </w:rPr>
        <w:t xml:space="preserve">0.30 per share, representing a difference of almost 10% </w:t>
      </w:r>
      <w:r w:rsidR="00DB6D7C">
        <w:rPr>
          <w:sz w:val="24"/>
          <w:szCs w:val="24"/>
        </w:rPr>
        <w:t xml:space="preserve">vs. its </w:t>
      </w:r>
      <w:r>
        <w:rPr>
          <w:sz w:val="24"/>
          <w:szCs w:val="24"/>
        </w:rPr>
        <w:t>current share price:</w:t>
      </w:r>
    </w:p>
    <w:p w:rsidR="00390F90" w:rsidRDefault="00390F90" w:rsidP="00390F90">
      <w:pPr>
        <w:ind w:left="-1260"/>
        <w:rPr>
          <w:sz w:val="24"/>
          <w:szCs w:val="24"/>
        </w:rPr>
      </w:pPr>
      <w:r w:rsidRPr="00390F90">
        <w:rPr>
          <w:noProof/>
          <w:lang w:eastAsia="zh-CN"/>
        </w:rPr>
        <w:drawing>
          <wp:inline distT="0" distB="0" distL="0" distR="0" wp14:anchorId="3769EFBC" wp14:editId="37962011">
            <wp:extent cx="7535508" cy="1351722"/>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588826" cy="1361286"/>
                    </a:xfrm>
                    <a:prstGeom prst="rect">
                      <a:avLst/>
                    </a:prstGeom>
                  </pic:spPr>
                </pic:pic>
              </a:graphicData>
            </a:graphic>
          </wp:inline>
        </w:drawing>
      </w:r>
    </w:p>
    <w:p w:rsidR="00390F90" w:rsidRDefault="00390F90" w:rsidP="00B01AEC">
      <w:pPr>
        <w:rPr>
          <w:sz w:val="24"/>
          <w:szCs w:val="24"/>
        </w:rPr>
      </w:pPr>
      <w:r>
        <w:rPr>
          <w:sz w:val="24"/>
          <w:szCs w:val="24"/>
        </w:rPr>
        <w:lastRenderedPageBreak/>
        <w:t xml:space="preserve">Under these new assumptions, which match our Base Case estimates exactly, it seems </w:t>
      </w:r>
      <w:r w:rsidR="00DB6D7C">
        <w:rPr>
          <w:sz w:val="24"/>
          <w:szCs w:val="24"/>
        </w:rPr>
        <w:t>extremely unlikely</w:t>
      </w:r>
      <w:r>
        <w:rPr>
          <w:sz w:val="24"/>
          <w:szCs w:val="24"/>
        </w:rPr>
        <w:t xml:space="preserve"> for the company to </w:t>
      </w:r>
      <w:r w:rsidRPr="00510981">
        <w:rPr>
          <w:noProof/>
          <w:sz w:val="24"/>
          <w:szCs w:val="24"/>
        </w:rPr>
        <w:t xml:space="preserve">be </w:t>
      </w:r>
      <w:r w:rsidR="00B76769" w:rsidRPr="00510981">
        <w:rPr>
          <w:noProof/>
          <w:sz w:val="24"/>
          <w:szCs w:val="24"/>
        </w:rPr>
        <w:t>overvalued</w:t>
      </w:r>
      <w:r w:rsidR="00B76769">
        <w:rPr>
          <w:sz w:val="24"/>
          <w:szCs w:val="24"/>
        </w:rPr>
        <w:t xml:space="preserve"> because only a few cells in the table have share prices greater than </w:t>
      </w:r>
      <w:r w:rsidR="00B76769" w:rsidRPr="00CA5030">
        <w:rPr>
          <w:sz w:val="24"/>
          <w:szCs w:val="24"/>
        </w:rPr>
        <w:t>£</w:t>
      </w:r>
      <w:r w:rsidR="00B76769">
        <w:rPr>
          <w:sz w:val="24"/>
          <w:szCs w:val="24"/>
        </w:rPr>
        <w:t>3.27.</w:t>
      </w:r>
    </w:p>
    <w:p w:rsidR="00B76769" w:rsidRDefault="00B76769" w:rsidP="00B01AEC">
      <w:pPr>
        <w:rPr>
          <w:sz w:val="24"/>
          <w:szCs w:val="24"/>
        </w:rPr>
      </w:pPr>
      <w:r>
        <w:rPr>
          <w:sz w:val="24"/>
          <w:szCs w:val="24"/>
        </w:rPr>
        <w:t xml:space="preserve">As another way to check this result, we can examine the company’s implied value in the </w:t>
      </w:r>
      <w:r>
        <w:rPr>
          <w:b/>
          <w:sz w:val="24"/>
          <w:szCs w:val="24"/>
        </w:rPr>
        <w:t>Upside Case</w:t>
      </w:r>
      <w:r>
        <w:rPr>
          <w:sz w:val="24"/>
          <w:szCs w:val="24"/>
        </w:rPr>
        <w:t xml:space="preserve">, but modify the GDP growth and commercial mortgage market share assumptions to match the lower figures </w:t>
      </w:r>
      <w:r w:rsidR="00DB6D7C">
        <w:rPr>
          <w:sz w:val="24"/>
          <w:szCs w:val="24"/>
        </w:rPr>
        <w:t>from</w:t>
      </w:r>
      <w:r>
        <w:rPr>
          <w:sz w:val="24"/>
          <w:szCs w:val="24"/>
        </w:rPr>
        <w:t xml:space="preserve"> our Base Case instead.</w:t>
      </w:r>
    </w:p>
    <w:p w:rsidR="00B76769" w:rsidRDefault="00B76769" w:rsidP="00B01AEC">
      <w:pPr>
        <w:rPr>
          <w:sz w:val="24"/>
          <w:szCs w:val="24"/>
        </w:rPr>
      </w:pPr>
      <w:r>
        <w:rPr>
          <w:sz w:val="24"/>
          <w:szCs w:val="24"/>
        </w:rPr>
        <w:t xml:space="preserve">Here is the sensitivity table from the DDM in the Upside Case </w:t>
      </w:r>
      <w:r>
        <w:rPr>
          <w:sz w:val="24"/>
          <w:szCs w:val="24"/>
          <w:u w:val="single"/>
        </w:rPr>
        <w:t>before</w:t>
      </w:r>
      <w:r>
        <w:rPr>
          <w:sz w:val="24"/>
          <w:szCs w:val="24"/>
        </w:rPr>
        <w:t xml:space="preserve"> modifying anything:</w:t>
      </w:r>
    </w:p>
    <w:p w:rsidR="00B76769" w:rsidRPr="00B76769" w:rsidRDefault="00B76769" w:rsidP="00B76769">
      <w:pPr>
        <w:ind w:left="-1260"/>
        <w:rPr>
          <w:sz w:val="24"/>
          <w:szCs w:val="24"/>
        </w:rPr>
      </w:pPr>
      <w:r w:rsidRPr="00B76769">
        <w:rPr>
          <w:noProof/>
          <w:lang w:eastAsia="zh-CN"/>
        </w:rPr>
        <w:drawing>
          <wp:inline distT="0" distB="0" distL="0" distR="0" wp14:anchorId="0EC94C5E" wp14:editId="35AEBAEF">
            <wp:extent cx="7534910" cy="1323439"/>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657117" cy="1344904"/>
                    </a:xfrm>
                    <a:prstGeom prst="rect">
                      <a:avLst/>
                    </a:prstGeom>
                  </pic:spPr>
                </pic:pic>
              </a:graphicData>
            </a:graphic>
          </wp:inline>
        </w:drawing>
      </w:r>
    </w:p>
    <w:p w:rsidR="00B76769" w:rsidRDefault="00633BFA" w:rsidP="00B01AEC">
      <w:pPr>
        <w:rPr>
          <w:sz w:val="24"/>
          <w:szCs w:val="24"/>
        </w:rPr>
      </w:pPr>
      <w:r>
        <w:rPr>
          <w:sz w:val="24"/>
          <w:szCs w:val="24"/>
        </w:rPr>
        <w:t xml:space="preserve">After modifying those two assumptions and </w:t>
      </w:r>
      <w:r>
        <w:rPr>
          <w:sz w:val="24"/>
          <w:szCs w:val="24"/>
          <w:u w:val="single"/>
        </w:rPr>
        <w:t>leaving everything else alone</w:t>
      </w:r>
      <w:r>
        <w:rPr>
          <w:sz w:val="24"/>
          <w:szCs w:val="24"/>
        </w:rPr>
        <w:t>, including the long-term ROTCE assumptions, the table changes significantly:</w:t>
      </w:r>
    </w:p>
    <w:p w:rsidR="00633BFA" w:rsidRPr="00633BFA" w:rsidRDefault="00633BFA" w:rsidP="00633BFA">
      <w:pPr>
        <w:ind w:left="-1260"/>
        <w:rPr>
          <w:sz w:val="24"/>
          <w:szCs w:val="24"/>
        </w:rPr>
      </w:pPr>
      <w:r w:rsidRPr="00633BFA">
        <w:rPr>
          <w:noProof/>
          <w:lang w:eastAsia="zh-CN"/>
        </w:rPr>
        <w:drawing>
          <wp:inline distT="0" distB="0" distL="0" distR="0" wp14:anchorId="2129CDD8" wp14:editId="3EBB191C">
            <wp:extent cx="7503856" cy="1359673"/>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60348" cy="1388029"/>
                    </a:xfrm>
                    <a:prstGeom prst="rect">
                      <a:avLst/>
                    </a:prstGeom>
                  </pic:spPr>
                </pic:pic>
              </a:graphicData>
            </a:graphic>
          </wp:inline>
        </w:drawing>
      </w:r>
    </w:p>
    <w:p w:rsidR="004C348E" w:rsidRDefault="00633BFA" w:rsidP="00B01AEC">
      <w:pPr>
        <w:rPr>
          <w:sz w:val="24"/>
          <w:szCs w:val="24"/>
        </w:rPr>
      </w:pPr>
      <w:r>
        <w:rPr>
          <w:sz w:val="24"/>
          <w:szCs w:val="24"/>
        </w:rPr>
        <w:t xml:space="preserve">The company’s implied value </w:t>
      </w:r>
      <w:r w:rsidR="00DB6D7C">
        <w:rPr>
          <w:sz w:val="24"/>
          <w:szCs w:val="24"/>
        </w:rPr>
        <w:t xml:space="preserve">in the center of the table </w:t>
      </w:r>
      <w:r>
        <w:rPr>
          <w:sz w:val="24"/>
          <w:szCs w:val="24"/>
        </w:rPr>
        <w:t xml:space="preserve">declines by </w:t>
      </w:r>
      <w:r w:rsidRPr="00CA5030">
        <w:rPr>
          <w:sz w:val="24"/>
          <w:szCs w:val="24"/>
        </w:rPr>
        <w:t>£</w:t>
      </w:r>
      <w:r>
        <w:rPr>
          <w:sz w:val="24"/>
          <w:szCs w:val="24"/>
        </w:rPr>
        <w:t xml:space="preserve">0.40, a difference of more than 10% </w:t>
      </w:r>
      <w:r w:rsidR="00DB6D7C">
        <w:rPr>
          <w:sz w:val="24"/>
          <w:szCs w:val="24"/>
        </w:rPr>
        <w:t xml:space="preserve">vs. </w:t>
      </w:r>
      <w:r>
        <w:rPr>
          <w:sz w:val="24"/>
          <w:szCs w:val="24"/>
        </w:rPr>
        <w:t>its current share price</w:t>
      </w:r>
      <w:r w:rsidR="00DB6D7C">
        <w:rPr>
          <w:sz w:val="24"/>
          <w:szCs w:val="24"/>
        </w:rPr>
        <w:t>.</w:t>
      </w:r>
    </w:p>
    <w:p w:rsidR="00B01AEC" w:rsidRDefault="00633BFA" w:rsidP="001945E3">
      <w:pPr>
        <w:rPr>
          <w:sz w:val="24"/>
          <w:szCs w:val="24"/>
        </w:rPr>
      </w:pPr>
      <w:r>
        <w:rPr>
          <w:sz w:val="24"/>
          <w:szCs w:val="24"/>
        </w:rPr>
        <w:t xml:space="preserve">This discussion has also ignored the lower market shares we’ve assumed for the company’s other loan segments: </w:t>
      </w:r>
      <w:r w:rsidR="001945E3" w:rsidRPr="00510981">
        <w:rPr>
          <w:noProof/>
          <w:sz w:val="24"/>
          <w:szCs w:val="24"/>
        </w:rPr>
        <w:t>taken</w:t>
      </w:r>
      <w:r w:rsidR="001945E3">
        <w:rPr>
          <w:sz w:val="24"/>
          <w:szCs w:val="24"/>
        </w:rPr>
        <w:t xml:space="preserve"> together, those </w:t>
      </w:r>
      <w:r w:rsidR="001945E3" w:rsidRPr="00510981">
        <w:rPr>
          <w:noProof/>
          <w:sz w:val="24"/>
          <w:szCs w:val="24"/>
        </w:rPr>
        <w:t>result</w:t>
      </w:r>
      <w:r w:rsidR="001945E3">
        <w:rPr>
          <w:sz w:val="24"/>
          <w:szCs w:val="24"/>
        </w:rPr>
        <w:t xml:space="preserve"> in an even greater valuation difference.</w:t>
      </w:r>
    </w:p>
    <w:p w:rsidR="00B01AEC" w:rsidRDefault="00B01AEC" w:rsidP="00B01AEC">
      <w:pPr>
        <w:rPr>
          <w:sz w:val="24"/>
          <w:szCs w:val="24"/>
        </w:rPr>
      </w:pPr>
      <w:r>
        <w:rPr>
          <w:b/>
          <w:sz w:val="24"/>
          <w:szCs w:val="24"/>
        </w:rPr>
        <w:t>Key Takeaways:</w:t>
      </w:r>
      <w:r>
        <w:rPr>
          <w:sz w:val="24"/>
          <w:szCs w:val="24"/>
        </w:rPr>
        <w:t xml:space="preserve"> This one change </w:t>
      </w:r>
      <w:r w:rsidR="001945E3">
        <w:rPr>
          <w:sz w:val="24"/>
          <w:szCs w:val="24"/>
        </w:rPr>
        <w:t xml:space="preserve">reduces the company’s implied value by </w:t>
      </w:r>
      <w:r w:rsidR="001945E3" w:rsidRPr="001945E3">
        <w:rPr>
          <w:b/>
          <w:sz w:val="24"/>
          <w:szCs w:val="24"/>
        </w:rPr>
        <w:t>10-15%</w:t>
      </w:r>
      <w:r w:rsidR="001945E3">
        <w:rPr>
          <w:sz w:val="24"/>
          <w:szCs w:val="24"/>
        </w:rPr>
        <w:t>, depending on the scenario and other assumptions.</w:t>
      </w:r>
    </w:p>
    <w:p w:rsidR="001945E3" w:rsidRDefault="00DB6D7C" w:rsidP="00B01AEC">
      <w:pPr>
        <w:rPr>
          <w:sz w:val="24"/>
          <w:szCs w:val="24"/>
        </w:rPr>
      </w:pPr>
      <w:r>
        <w:rPr>
          <w:sz w:val="24"/>
          <w:szCs w:val="24"/>
        </w:rPr>
        <w:t xml:space="preserve">We believe that </w:t>
      </w:r>
      <w:r w:rsidR="001402C9">
        <w:rPr>
          <w:sz w:val="24"/>
          <w:szCs w:val="24"/>
        </w:rPr>
        <w:t xml:space="preserve">lower GDP growth </w:t>
      </w:r>
      <w:r>
        <w:rPr>
          <w:sz w:val="24"/>
          <w:szCs w:val="24"/>
        </w:rPr>
        <w:t xml:space="preserve">and the slowdown in commercial mortgages </w:t>
      </w:r>
      <w:r w:rsidR="001402C9">
        <w:rPr>
          <w:sz w:val="24"/>
          <w:szCs w:val="24"/>
        </w:rPr>
        <w:t xml:space="preserve">are </w:t>
      </w:r>
      <w:r w:rsidR="001402C9">
        <w:rPr>
          <w:sz w:val="24"/>
          <w:szCs w:val="24"/>
          <w:u w:val="single"/>
        </w:rPr>
        <w:t>extremely</w:t>
      </w:r>
      <w:r w:rsidR="001402C9">
        <w:rPr>
          <w:sz w:val="24"/>
          <w:szCs w:val="24"/>
        </w:rPr>
        <w:t xml:space="preserve"> likely because:</w:t>
      </w:r>
    </w:p>
    <w:p w:rsidR="001402C9" w:rsidRDefault="001402C9" w:rsidP="001402C9">
      <w:pPr>
        <w:pStyle w:val="ListParagraph"/>
        <w:numPr>
          <w:ilvl w:val="0"/>
          <w:numId w:val="12"/>
        </w:numPr>
        <w:rPr>
          <w:sz w:val="24"/>
          <w:szCs w:val="24"/>
        </w:rPr>
      </w:pPr>
      <w:r>
        <w:rPr>
          <w:sz w:val="24"/>
          <w:szCs w:val="24"/>
        </w:rPr>
        <w:lastRenderedPageBreak/>
        <w:t xml:space="preserve">Numerous sources, including a faculty member at the </w:t>
      </w:r>
      <w:r w:rsidRPr="001402C9">
        <w:rPr>
          <w:sz w:val="24"/>
          <w:szCs w:val="24"/>
        </w:rPr>
        <w:t>Warwick Economics Research Institute</w:t>
      </w:r>
      <w:r>
        <w:rPr>
          <w:sz w:val="24"/>
          <w:szCs w:val="24"/>
        </w:rPr>
        <w:t xml:space="preserve">, </w:t>
      </w:r>
      <w:r w:rsidR="00DB6D7C">
        <w:rPr>
          <w:sz w:val="24"/>
          <w:szCs w:val="24"/>
        </w:rPr>
        <w:t xml:space="preserve">have </w:t>
      </w:r>
      <w:r>
        <w:rPr>
          <w:sz w:val="24"/>
          <w:szCs w:val="24"/>
        </w:rPr>
        <w:t>made comments like the following</w:t>
      </w:r>
      <w:r w:rsidR="00DB6D7C">
        <w:rPr>
          <w:sz w:val="24"/>
          <w:szCs w:val="24"/>
        </w:rPr>
        <w:t>:</w:t>
      </w:r>
    </w:p>
    <w:p w:rsidR="001402C9" w:rsidRPr="001402C9" w:rsidRDefault="001402C9" w:rsidP="00B01AEC">
      <w:pPr>
        <w:rPr>
          <w:i/>
          <w:sz w:val="24"/>
          <w:szCs w:val="24"/>
        </w:rPr>
      </w:pPr>
      <w:r w:rsidRPr="001402C9">
        <w:rPr>
          <w:i/>
          <w:sz w:val="24"/>
          <w:szCs w:val="24"/>
        </w:rPr>
        <w:t>“Expectations are for 2-3% nominal growth, falling to 2% over time. We think the Bank of England will keep interest rates low, despite statements to the contrary, due to fears of a slowdown in emerging markets.”</w:t>
      </w:r>
    </w:p>
    <w:p w:rsidR="001402C9" w:rsidRDefault="001402C9" w:rsidP="001402C9">
      <w:pPr>
        <w:pStyle w:val="ListParagraph"/>
        <w:numPr>
          <w:ilvl w:val="0"/>
          <w:numId w:val="12"/>
        </w:numPr>
        <w:rPr>
          <w:sz w:val="24"/>
          <w:szCs w:val="24"/>
        </w:rPr>
      </w:pPr>
      <w:r w:rsidRPr="00243E64">
        <w:rPr>
          <w:b/>
          <w:sz w:val="24"/>
          <w:szCs w:val="24"/>
        </w:rPr>
        <w:t>The maximum nominal UK GDP growth rate in the post-financial-crisis years was 2.9%</w:t>
      </w:r>
      <w:r>
        <w:rPr>
          <w:sz w:val="24"/>
          <w:szCs w:val="24"/>
        </w:rPr>
        <w:t xml:space="preserve">, and it is unclear how or why this could accelerate to 3.0% </w:t>
      </w:r>
      <w:r w:rsidR="004F054D">
        <w:rPr>
          <w:sz w:val="24"/>
          <w:szCs w:val="24"/>
        </w:rPr>
        <w:t>–</w:t>
      </w:r>
      <w:r>
        <w:rPr>
          <w:sz w:val="24"/>
          <w:szCs w:val="24"/>
        </w:rPr>
        <w:t xml:space="preserve"> 3.5%, as we assume</w:t>
      </w:r>
      <w:r w:rsidR="00DB6D7C">
        <w:rPr>
          <w:sz w:val="24"/>
          <w:szCs w:val="24"/>
        </w:rPr>
        <w:t>d</w:t>
      </w:r>
      <w:r>
        <w:rPr>
          <w:sz w:val="24"/>
          <w:szCs w:val="24"/>
        </w:rPr>
        <w:t xml:space="preserve"> in the Upside Case:</w:t>
      </w:r>
    </w:p>
    <w:p w:rsidR="001402C9" w:rsidRPr="001402C9" w:rsidRDefault="001402C9" w:rsidP="001402C9">
      <w:pPr>
        <w:ind w:left="-1260"/>
        <w:rPr>
          <w:sz w:val="24"/>
          <w:szCs w:val="24"/>
        </w:rPr>
      </w:pPr>
      <w:r w:rsidRPr="001402C9">
        <w:rPr>
          <w:noProof/>
          <w:lang w:eastAsia="zh-CN"/>
        </w:rPr>
        <w:drawing>
          <wp:inline distT="0" distB="0" distL="0" distR="0" wp14:anchorId="4212A2D9" wp14:editId="35121837">
            <wp:extent cx="7506032" cy="2276669"/>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571300" cy="2296466"/>
                    </a:xfrm>
                    <a:prstGeom prst="rect">
                      <a:avLst/>
                    </a:prstGeom>
                  </pic:spPr>
                </pic:pic>
              </a:graphicData>
            </a:graphic>
          </wp:inline>
        </w:drawing>
      </w:r>
    </w:p>
    <w:p w:rsidR="001402C9" w:rsidRDefault="004F054D" w:rsidP="004F054D">
      <w:pPr>
        <w:pStyle w:val="ListParagraph"/>
        <w:numPr>
          <w:ilvl w:val="0"/>
          <w:numId w:val="12"/>
        </w:numPr>
        <w:rPr>
          <w:sz w:val="24"/>
          <w:szCs w:val="24"/>
        </w:rPr>
      </w:pPr>
      <w:r w:rsidRPr="00243E64">
        <w:rPr>
          <w:b/>
          <w:sz w:val="24"/>
          <w:szCs w:val="24"/>
        </w:rPr>
        <w:t>Almost everyone we spoke with in the real estate market has reported lower-than-expected property sales and sluggish performance</w:t>
      </w:r>
      <w:r>
        <w:rPr>
          <w:sz w:val="24"/>
          <w:szCs w:val="24"/>
        </w:rPr>
        <w:t>. One agent in South Kensington made the following comments:</w:t>
      </w:r>
    </w:p>
    <w:p w:rsidR="004F054D" w:rsidRPr="004F054D" w:rsidRDefault="004F054D" w:rsidP="004F054D">
      <w:pPr>
        <w:rPr>
          <w:i/>
          <w:sz w:val="24"/>
          <w:szCs w:val="24"/>
        </w:rPr>
      </w:pPr>
      <w:r w:rsidRPr="004F054D">
        <w:rPr>
          <w:i/>
          <w:sz w:val="24"/>
          <w:szCs w:val="24"/>
        </w:rPr>
        <w:t>“Sales of higher-end residences have been sluggish this year, and we’ve had to reduce prices in several cases to complete deals. Transactions are also taking about 20-30% longer to close than in past years. Foreign money is still flowing in, but the volume has decreased greatly.”</w:t>
      </w:r>
    </w:p>
    <w:p w:rsidR="001402C9" w:rsidRPr="004F054D" w:rsidRDefault="004F054D" w:rsidP="004F054D">
      <w:pPr>
        <w:pStyle w:val="ListParagraph"/>
        <w:numPr>
          <w:ilvl w:val="0"/>
          <w:numId w:val="12"/>
        </w:numPr>
        <w:rPr>
          <w:sz w:val="24"/>
          <w:szCs w:val="24"/>
        </w:rPr>
      </w:pPr>
      <w:r w:rsidRPr="00243E64">
        <w:rPr>
          <w:b/>
          <w:sz w:val="24"/>
          <w:szCs w:val="24"/>
        </w:rPr>
        <w:t>Shawbrook has already reported lower-than-expected loan growth for 1H15</w:t>
      </w:r>
      <w:r>
        <w:rPr>
          <w:sz w:val="24"/>
          <w:szCs w:val="24"/>
        </w:rPr>
        <w:t xml:space="preserve">, and the overall mortgage market in the UK has been slow to recover, </w:t>
      </w:r>
      <w:r w:rsidR="0041788C">
        <w:rPr>
          <w:sz w:val="24"/>
          <w:szCs w:val="24"/>
        </w:rPr>
        <w:t xml:space="preserve">comprising </w:t>
      </w:r>
      <w:r>
        <w:rPr>
          <w:sz w:val="24"/>
          <w:szCs w:val="24"/>
        </w:rPr>
        <w:t>a smaller percentage of UK GDP each year:</w:t>
      </w:r>
    </w:p>
    <w:p w:rsidR="001402C9" w:rsidRPr="00AB79FE" w:rsidRDefault="00AC0714" w:rsidP="00B01AEC">
      <w:pPr>
        <w:rPr>
          <w:sz w:val="24"/>
          <w:szCs w:val="24"/>
        </w:rPr>
      </w:pPr>
      <w:r w:rsidRPr="00AC0714">
        <w:rPr>
          <w:noProof/>
          <w:lang w:eastAsia="zh-CN"/>
        </w:rPr>
        <w:lastRenderedPageBreak/>
        <w:drawing>
          <wp:inline distT="0" distB="0" distL="0" distR="0" wp14:anchorId="29F38D0C" wp14:editId="78813657">
            <wp:extent cx="5943600" cy="24123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412365"/>
                    </a:xfrm>
                    <a:prstGeom prst="rect">
                      <a:avLst/>
                    </a:prstGeom>
                  </pic:spPr>
                </pic:pic>
              </a:graphicData>
            </a:graphic>
          </wp:inline>
        </w:drawing>
      </w:r>
    </w:p>
    <w:p w:rsidR="00B01AEC" w:rsidRDefault="00AC0714" w:rsidP="00B01AEC">
      <w:pPr>
        <w:ind w:left="-1440"/>
        <w:rPr>
          <w:sz w:val="24"/>
          <w:szCs w:val="24"/>
        </w:rPr>
      </w:pPr>
      <w:r w:rsidRPr="00AC0714">
        <w:rPr>
          <w:noProof/>
          <w:lang w:eastAsia="zh-CN"/>
        </w:rPr>
        <w:drawing>
          <wp:inline distT="0" distB="0" distL="0" distR="0" wp14:anchorId="12FB9578" wp14:editId="6951BC01">
            <wp:extent cx="7719679" cy="2258171"/>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743228" cy="2265060"/>
                    </a:xfrm>
                    <a:prstGeom prst="rect">
                      <a:avLst/>
                    </a:prstGeom>
                  </pic:spPr>
                </pic:pic>
              </a:graphicData>
            </a:graphic>
          </wp:inline>
        </w:drawing>
      </w:r>
    </w:p>
    <w:p w:rsidR="001402C9" w:rsidRDefault="00AC0714" w:rsidP="00B01AEC">
      <w:pPr>
        <w:rPr>
          <w:sz w:val="24"/>
          <w:szCs w:val="24"/>
        </w:rPr>
      </w:pPr>
      <w:r>
        <w:rPr>
          <w:sz w:val="24"/>
          <w:szCs w:val="24"/>
        </w:rPr>
        <w:t xml:space="preserve">BTL lending has grown much faster than </w:t>
      </w:r>
      <w:r w:rsidR="0041788C">
        <w:rPr>
          <w:sz w:val="24"/>
          <w:szCs w:val="24"/>
        </w:rPr>
        <w:t xml:space="preserve">total </w:t>
      </w:r>
      <w:r>
        <w:rPr>
          <w:sz w:val="24"/>
          <w:szCs w:val="24"/>
        </w:rPr>
        <w:t xml:space="preserve">mortgage lending, </w:t>
      </w:r>
      <w:r w:rsidR="0041788C">
        <w:rPr>
          <w:sz w:val="24"/>
          <w:szCs w:val="24"/>
        </w:rPr>
        <w:t xml:space="preserve">but </w:t>
      </w:r>
      <w:r w:rsidR="00451FBA">
        <w:rPr>
          <w:sz w:val="24"/>
          <w:szCs w:val="24"/>
        </w:rPr>
        <w:t xml:space="preserve">a slowdown in that market is also imminent – the graph above shows that the 1H15 results are only around 50-60% of 2014 results, indicating that </w:t>
      </w:r>
      <w:r w:rsidR="0041788C">
        <w:rPr>
          <w:sz w:val="24"/>
          <w:szCs w:val="24"/>
        </w:rPr>
        <w:t xml:space="preserve">this year’s annual growth rate will be </w:t>
      </w:r>
      <w:r w:rsidR="00451FBA">
        <w:rPr>
          <w:sz w:val="24"/>
          <w:szCs w:val="24"/>
        </w:rPr>
        <w:t>less than the 26% CAGR over the past several years.</w:t>
      </w:r>
    </w:p>
    <w:p w:rsidR="00451FBA" w:rsidRDefault="00451FBA" w:rsidP="00451FBA">
      <w:pPr>
        <w:pStyle w:val="ListParagraph"/>
        <w:numPr>
          <w:ilvl w:val="0"/>
          <w:numId w:val="12"/>
        </w:numPr>
        <w:rPr>
          <w:sz w:val="24"/>
          <w:szCs w:val="24"/>
        </w:rPr>
      </w:pPr>
      <w:r>
        <w:rPr>
          <w:sz w:val="24"/>
          <w:szCs w:val="24"/>
        </w:rPr>
        <w:t xml:space="preserve">Recent legislation proposed by George Osborne, such as higher taxes and stamp duty increases, will result in </w:t>
      </w:r>
      <w:r w:rsidRPr="0046042B">
        <w:rPr>
          <w:b/>
          <w:sz w:val="24"/>
          <w:szCs w:val="24"/>
        </w:rPr>
        <w:t>reduced demand for BTL mortgages</w:t>
      </w:r>
      <w:r>
        <w:rPr>
          <w:sz w:val="24"/>
          <w:szCs w:val="24"/>
        </w:rPr>
        <w:t>, even among “professional” landlords.</w:t>
      </w:r>
    </w:p>
    <w:p w:rsidR="00451FBA" w:rsidRDefault="00451FBA" w:rsidP="00451FBA">
      <w:pPr>
        <w:pStyle w:val="ListParagraph"/>
        <w:rPr>
          <w:sz w:val="24"/>
          <w:szCs w:val="24"/>
        </w:rPr>
      </w:pPr>
    </w:p>
    <w:p w:rsidR="00451FBA" w:rsidRDefault="00451FBA" w:rsidP="00451FBA">
      <w:pPr>
        <w:pStyle w:val="ListParagraph"/>
        <w:numPr>
          <w:ilvl w:val="0"/>
          <w:numId w:val="12"/>
        </w:numPr>
        <w:rPr>
          <w:sz w:val="24"/>
          <w:szCs w:val="24"/>
        </w:rPr>
      </w:pPr>
      <w:r>
        <w:rPr>
          <w:sz w:val="24"/>
          <w:szCs w:val="24"/>
        </w:rPr>
        <w:t xml:space="preserve">Finally, we believe that increased competition will result in </w:t>
      </w:r>
      <w:r w:rsidRPr="0046042B">
        <w:rPr>
          <w:b/>
          <w:sz w:val="24"/>
          <w:szCs w:val="24"/>
        </w:rPr>
        <w:t>lower-than-expected market share gains</w:t>
      </w:r>
      <w:r>
        <w:rPr>
          <w:sz w:val="24"/>
          <w:szCs w:val="24"/>
        </w:rPr>
        <w:t xml:space="preserve"> for the company. One real estate broker even made the following comments:</w:t>
      </w:r>
    </w:p>
    <w:p w:rsidR="00451FBA" w:rsidRPr="00451FBA" w:rsidRDefault="00451FBA" w:rsidP="00451FBA">
      <w:pPr>
        <w:rPr>
          <w:i/>
          <w:sz w:val="24"/>
          <w:szCs w:val="24"/>
        </w:rPr>
      </w:pPr>
      <w:r w:rsidRPr="00451FBA">
        <w:rPr>
          <w:i/>
          <w:sz w:val="24"/>
          <w:szCs w:val="24"/>
        </w:rPr>
        <w:lastRenderedPageBreak/>
        <w:t>“Shawbrook won the vast majority of competitive deals 2-3 years ago, but we’ve seen their win rate come down as more firms have entered the market. I could see them continuing to increase their share within the BTL and broader mortgage markets, but I don’t think it will go above 1% anytime soon, especially given the continued presence of the high street banks and more challengers popping up.”</w:t>
      </w:r>
    </w:p>
    <w:p w:rsidR="00AC0714" w:rsidRDefault="00451FBA" w:rsidP="00B01AEC">
      <w:pPr>
        <w:rPr>
          <w:sz w:val="24"/>
          <w:szCs w:val="24"/>
        </w:rPr>
      </w:pPr>
      <w:r>
        <w:rPr>
          <w:sz w:val="24"/>
          <w:szCs w:val="24"/>
        </w:rPr>
        <w:t xml:space="preserve">Shawbrook’s Gross Asset Yield of 6.3% on its commercial mortgages </w:t>
      </w:r>
      <w:r w:rsidR="0041788C">
        <w:rPr>
          <w:sz w:val="24"/>
          <w:szCs w:val="24"/>
        </w:rPr>
        <w:t xml:space="preserve">also </w:t>
      </w:r>
      <w:r>
        <w:rPr>
          <w:sz w:val="24"/>
          <w:szCs w:val="24"/>
        </w:rPr>
        <w:t>exceeds those of its competitors (Aldermore is at 5.1% for residential and 6.0% for SME, and OneSavings is at 5.8%).</w:t>
      </w:r>
    </w:p>
    <w:p w:rsidR="00451FBA" w:rsidRDefault="00451FBA" w:rsidP="00B01AEC">
      <w:pPr>
        <w:rPr>
          <w:sz w:val="24"/>
          <w:szCs w:val="24"/>
        </w:rPr>
      </w:pPr>
      <w:r>
        <w:rPr>
          <w:sz w:val="24"/>
          <w:szCs w:val="24"/>
        </w:rPr>
        <w:t xml:space="preserve">The third catalyst, a </w:t>
      </w:r>
      <w:r w:rsidRPr="00451FBA">
        <w:rPr>
          <w:sz w:val="24"/>
          <w:szCs w:val="24"/>
        </w:rPr>
        <w:t xml:space="preserve">~1% compression of </w:t>
      </w:r>
      <w:r w:rsidRPr="00510981">
        <w:rPr>
          <w:noProof/>
          <w:sz w:val="24"/>
          <w:szCs w:val="24"/>
        </w:rPr>
        <w:t>loan interest</w:t>
      </w:r>
      <w:r w:rsidRPr="00451FBA">
        <w:rPr>
          <w:sz w:val="24"/>
          <w:szCs w:val="24"/>
        </w:rPr>
        <w:t xml:space="preserve"> spreads </w:t>
      </w:r>
      <w:r>
        <w:rPr>
          <w:sz w:val="24"/>
          <w:szCs w:val="24"/>
        </w:rPr>
        <w:t xml:space="preserve">and </w:t>
      </w:r>
      <w:r w:rsidRPr="00451FBA">
        <w:rPr>
          <w:sz w:val="24"/>
          <w:szCs w:val="24"/>
        </w:rPr>
        <w:t>a funding cost increase of 0</w:t>
      </w:r>
      <w:r w:rsidR="0041788C">
        <w:rPr>
          <w:sz w:val="24"/>
          <w:szCs w:val="24"/>
        </w:rPr>
        <w:t xml:space="preserve">.3% – 0.5%, </w:t>
      </w:r>
      <w:r>
        <w:rPr>
          <w:sz w:val="24"/>
          <w:szCs w:val="24"/>
        </w:rPr>
        <w:t xml:space="preserve">also makes a significant difference because </w:t>
      </w:r>
      <w:r w:rsidR="00120B53">
        <w:rPr>
          <w:sz w:val="24"/>
          <w:szCs w:val="24"/>
        </w:rPr>
        <w:t>the company’s Return on Tangible Common Equity will decline as a result</w:t>
      </w:r>
      <w:r w:rsidR="0041788C">
        <w:rPr>
          <w:sz w:val="24"/>
          <w:szCs w:val="24"/>
        </w:rPr>
        <w:t>.</w:t>
      </w:r>
    </w:p>
    <w:p w:rsidR="00451FBA" w:rsidRDefault="003E620C" w:rsidP="00B01AEC">
      <w:pPr>
        <w:rPr>
          <w:sz w:val="24"/>
          <w:szCs w:val="24"/>
        </w:rPr>
      </w:pPr>
      <w:r>
        <w:rPr>
          <w:sz w:val="24"/>
          <w:szCs w:val="24"/>
        </w:rPr>
        <w:t>For reference, the company had the following loan interest spreads and funding costs in its last fiscal year:</w:t>
      </w:r>
    </w:p>
    <w:p w:rsidR="003E620C" w:rsidRDefault="003E620C" w:rsidP="003E620C">
      <w:pPr>
        <w:pStyle w:val="ListParagraph"/>
        <w:numPr>
          <w:ilvl w:val="0"/>
          <w:numId w:val="13"/>
        </w:numPr>
        <w:rPr>
          <w:sz w:val="24"/>
          <w:szCs w:val="24"/>
        </w:rPr>
      </w:pPr>
      <w:r>
        <w:rPr>
          <w:b/>
          <w:sz w:val="24"/>
          <w:szCs w:val="24"/>
        </w:rPr>
        <w:t>Commercial Mortgages:</w:t>
      </w:r>
      <w:r>
        <w:rPr>
          <w:sz w:val="24"/>
          <w:szCs w:val="24"/>
        </w:rPr>
        <w:t xml:space="preserve"> L + 6</w:t>
      </w:r>
      <w:r w:rsidR="00E4409C">
        <w:rPr>
          <w:sz w:val="24"/>
          <w:szCs w:val="24"/>
        </w:rPr>
        <w:t>00 bps</w:t>
      </w:r>
    </w:p>
    <w:p w:rsidR="003E620C" w:rsidRDefault="003E620C" w:rsidP="003E620C">
      <w:pPr>
        <w:pStyle w:val="ListParagraph"/>
        <w:numPr>
          <w:ilvl w:val="0"/>
          <w:numId w:val="13"/>
        </w:numPr>
        <w:rPr>
          <w:sz w:val="24"/>
          <w:szCs w:val="24"/>
        </w:rPr>
      </w:pPr>
      <w:r>
        <w:rPr>
          <w:b/>
          <w:sz w:val="24"/>
          <w:szCs w:val="24"/>
        </w:rPr>
        <w:t>Asset Finance:</w:t>
      </w:r>
      <w:r>
        <w:rPr>
          <w:sz w:val="24"/>
          <w:szCs w:val="24"/>
        </w:rPr>
        <w:t xml:space="preserve"> L + 9</w:t>
      </w:r>
      <w:r w:rsidR="00E4409C">
        <w:rPr>
          <w:sz w:val="24"/>
          <w:szCs w:val="24"/>
        </w:rPr>
        <w:t>70 bps</w:t>
      </w:r>
    </w:p>
    <w:p w:rsidR="003E620C" w:rsidRDefault="003E620C" w:rsidP="003E620C">
      <w:pPr>
        <w:pStyle w:val="ListParagraph"/>
        <w:numPr>
          <w:ilvl w:val="0"/>
          <w:numId w:val="13"/>
        </w:numPr>
        <w:rPr>
          <w:sz w:val="24"/>
          <w:szCs w:val="24"/>
        </w:rPr>
      </w:pPr>
      <w:r>
        <w:rPr>
          <w:b/>
          <w:sz w:val="24"/>
          <w:szCs w:val="24"/>
        </w:rPr>
        <w:t>Business Credit:</w:t>
      </w:r>
      <w:r>
        <w:rPr>
          <w:sz w:val="24"/>
          <w:szCs w:val="24"/>
        </w:rPr>
        <w:t xml:space="preserve"> L + 6</w:t>
      </w:r>
      <w:r w:rsidR="00E4409C">
        <w:rPr>
          <w:sz w:val="24"/>
          <w:szCs w:val="24"/>
        </w:rPr>
        <w:t>70 bps</w:t>
      </w:r>
    </w:p>
    <w:p w:rsidR="003E620C" w:rsidRDefault="003E620C" w:rsidP="003E620C">
      <w:pPr>
        <w:pStyle w:val="ListParagraph"/>
        <w:numPr>
          <w:ilvl w:val="0"/>
          <w:numId w:val="13"/>
        </w:numPr>
        <w:rPr>
          <w:sz w:val="24"/>
          <w:szCs w:val="24"/>
        </w:rPr>
      </w:pPr>
      <w:r>
        <w:rPr>
          <w:b/>
          <w:sz w:val="24"/>
          <w:szCs w:val="24"/>
        </w:rPr>
        <w:t>Secured Lending:</w:t>
      </w:r>
      <w:r>
        <w:rPr>
          <w:sz w:val="24"/>
          <w:szCs w:val="24"/>
        </w:rPr>
        <w:t xml:space="preserve"> L + 9</w:t>
      </w:r>
      <w:r w:rsidR="00E4409C">
        <w:rPr>
          <w:sz w:val="24"/>
          <w:szCs w:val="24"/>
        </w:rPr>
        <w:t>80 bps</w:t>
      </w:r>
    </w:p>
    <w:p w:rsidR="003E620C" w:rsidRPr="0041788C" w:rsidRDefault="003E620C" w:rsidP="003E620C">
      <w:pPr>
        <w:pStyle w:val="ListParagraph"/>
        <w:numPr>
          <w:ilvl w:val="0"/>
          <w:numId w:val="13"/>
        </w:numPr>
        <w:rPr>
          <w:sz w:val="24"/>
          <w:szCs w:val="24"/>
        </w:rPr>
      </w:pPr>
      <w:r w:rsidRPr="0041788C">
        <w:rPr>
          <w:b/>
          <w:sz w:val="24"/>
          <w:szCs w:val="24"/>
        </w:rPr>
        <w:t xml:space="preserve">Consumer Lending: </w:t>
      </w:r>
      <w:r w:rsidRPr="0041788C">
        <w:rPr>
          <w:sz w:val="24"/>
          <w:szCs w:val="24"/>
        </w:rPr>
        <w:t xml:space="preserve">L + </w:t>
      </w:r>
      <w:r w:rsidR="00E4409C" w:rsidRPr="0041788C">
        <w:rPr>
          <w:sz w:val="24"/>
          <w:szCs w:val="24"/>
        </w:rPr>
        <w:t>1140 bps</w:t>
      </w:r>
    </w:p>
    <w:p w:rsidR="003E620C" w:rsidRDefault="003E620C" w:rsidP="003E620C">
      <w:pPr>
        <w:pStyle w:val="ListParagraph"/>
        <w:numPr>
          <w:ilvl w:val="0"/>
          <w:numId w:val="13"/>
        </w:numPr>
        <w:rPr>
          <w:sz w:val="24"/>
          <w:szCs w:val="24"/>
        </w:rPr>
      </w:pPr>
      <w:r>
        <w:rPr>
          <w:b/>
          <w:sz w:val="24"/>
          <w:szCs w:val="24"/>
        </w:rPr>
        <w:t>Average Interest Rate on Deposits:</w:t>
      </w:r>
      <w:r>
        <w:rPr>
          <w:sz w:val="24"/>
          <w:szCs w:val="24"/>
        </w:rPr>
        <w:t xml:space="preserve"> 2.6% (</w:t>
      </w:r>
      <w:r w:rsidR="0041788C">
        <w:rPr>
          <w:sz w:val="24"/>
          <w:szCs w:val="24"/>
        </w:rPr>
        <w:t xml:space="preserve">declining </w:t>
      </w:r>
      <w:r>
        <w:rPr>
          <w:sz w:val="24"/>
          <w:szCs w:val="24"/>
        </w:rPr>
        <w:t>to 2.4% in the first projected year)</w:t>
      </w:r>
    </w:p>
    <w:p w:rsidR="003E620C" w:rsidRDefault="003E620C" w:rsidP="003E620C">
      <w:pPr>
        <w:pStyle w:val="ListParagraph"/>
        <w:numPr>
          <w:ilvl w:val="0"/>
          <w:numId w:val="13"/>
        </w:numPr>
        <w:rPr>
          <w:sz w:val="24"/>
          <w:szCs w:val="24"/>
        </w:rPr>
      </w:pPr>
      <w:r>
        <w:rPr>
          <w:b/>
          <w:sz w:val="24"/>
          <w:szCs w:val="24"/>
        </w:rPr>
        <w:t>Average Interest Rate on All Interest-</w:t>
      </w:r>
      <w:r w:rsidRPr="003E620C">
        <w:rPr>
          <w:b/>
          <w:sz w:val="24"/>
          <w:szCs w:val="24"/>
        </w:rPr>
        <w:t>Bearing Liabilities:</w:t>
      </w:r>
      <w:r>
        <w:rPr>
          <w:sz w:val="24"/>
          <w:szCs w:val="24"/>
        </w:rPr>
        <w:t xml:space="preserve"> 2.7%</w:t>
      </w:r>
    </w:p>
    <w:p w:rsidR="00120B53" w:rsidRDefault="003E620C" w:rsidP="00B01AEC">
      <w:pPr>
        <w:rPr>
          <w:sz w:val="24"/>
          <w:szCs w:val="24"/>
        </w:rPr>
      </w:pPr>
      <w:r>
        <w:rPr>
          <w:sz w:val="24"/>
          <w:szCs w:val="24"/>
        </w:rPr>
        <w:t xml:space="preserve">If you </w:t>
      </w:r>
      <w:r w:rsidR="0041788C">
        <w:rPr>
          <w:sz w:val="24"/>
          <w:szCs w:val="24"/>
        </w:rPr>
        <w:t>hold</w:t>
      </w:r>
      <w:r>
        <w:rPr>
          <w:sz w:val="24"/>
          <w:szCs w:val="24"/>
        </w:rPr>
        <w:t xml:space="preserve"> these assumptions </w:t>
      </w:r>
      <w:r w:rsidRPr="0041788C">
        <w:rPr>
          <w:b/>
          <w:sz w:val="24"/>
          <w:szCs w:val="24"/>
        </w:rPr>
        <w:t>constant</w:t>
      </w:r>
      <w:r>
        <w:rPr>
          <w:sz w:val="24"/>
          <w:szCs w:val="24"/>
        </w:rPr>
        <w:t xml:space="preserve"> and then also adjust the company’s long-term ROTCE in the dividend discount model, the output is as follows:</w:t>
      </w:r>
    </w:p>
    <w:p w:rsidR="003E620C" w:rsidRDefault="003E620C" w:rsidP="003E620C">
      <w:pPr>
        <w:ind w:left="-1350"/>
        <w:rPr>
          <w:sz w:val="24"/>
          <w:szCs w:val="24"/>
        </w:rPr>
      </w:pPr>
      <w:r w:rsidRPr="003E620C">
        <w:rPr>
          <w:noProof/>
          <w:lang w:eastAsia="zh-CN"/>
        </w:rPr>
        <w:drawing>
          <wp:inline distT="0" distB="0" distL="0" distR="0" wp14:anchorId="0703A2D7" wp14:editId="5193D2C5">
            <wp:extent cx="7676624" cy="1407381"/>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03893" cy="1430714"/>
                    </a:xfrm>
                    <a:prstGeom prst="rect">
                      <a:avLst/>
                    </a:prstGeom>
                  </pic:spPr>
                </pic:pic>
              </a:graphicData>
            </a:graphic>
          </wp:inline>
        </w:drawing>
      </w:r>
    </w:p>
    <w:p w:rsidR="003E620C" w:rsidRDefault="003E620C" w:rsidP="00B01AEC">
      <w:pPr>
        <w:rPr>
          <w:sz w:val="24"/>
          <w:szCs w:val="24"/>
        </w:rPr>
      </w:pPr>
      <w:r>
        <w:rPr>
          <w:sz w:val="24"/>
          <w:szCs w:val="24"/>
        </w:rPr>
        <w:t xml:space="preserve">Our Base Case scenario makes the following interest </w:t>
      </w:r>
      <w:r w:rsidR="0041788C">
        <w:rPr>
          <w:sz w:val="24"/>
          <w:szCs w:val="24"/>
        </w:rPr>
        <w:t xml:space="preserve">rate </w:t>
      </w:r>
      <w:r>
        <w:rPr>
          <w:sz w:val="24"/>
          <w:szCs w:val="24"/>
        </w:rPr>
        <w:t>assumptions instead:</w:t>
      </w:r>
    </w:p>
    <w:p w:rsidR="003E620C" w:rsidRDefault="003E620C" w:rsidP="003E620C">
      <w:pPr>
        <w:pStyle w:val="ListParagraph"/>
        <w:numPr>
          <w:ilvl w:val="0"/>
          <w:numId w:val="13"/>
        </w:numPr>
        <w:rPr>
          <w:sz w:val="24"/>
          <w:szCs w:val="24"/>
        </w:rPr>
      </w:pPr>
      <w:r>
        <w:rPr>
          <w:b/>
          <w:sz w:val="24"/>
          <w:szCs w:val="24"/>
        </w:rPr>
        <w:t>Commercial Mortgages:</w:t>
      </w:r>
      <w:r w:rsidR="00E4409C">
        <w:rPr>
          <w:sz w:val="24"/>
          <w:szCs w:val="24"/>
        </w:rPr>
        <w:t xml:space="preserve"> L + 600 bps</w:t>
      </w:r>
      <w:r>
        <w:rPr>
          <w:sz w:val="24"/>
          <w:szCs w:val="24"/>
        </w:rPr>
        <w:t xml:space="preserve"> </w:t>
      </w:r>
      <w:r w:rsidRPr="003E620C">
        <w:rPr>
          <w:sz w:val="24"/>
          <w:szCs w:val="24"/>
        </w:rPr>
        <w:sym w:font="Wingdings" w:char="F0E0"/>
      </w:r>
      <w:r>
        <w:rPr>
          <w:sz w:val="24"/>
          <w:szCs w:val="24"/>
        </w:rPr>
        <w:t xml:space="preserve"> Declines to L + </w:t>
      </w:r>
      <w:r w:rsidR="00E4409C">
        <w:rPr>
          <w:sz w:val="24"/>
          <w:szCs w:val="24"/>
        </w:rPr>
        <w:t>470 bps</w:t>
      </w:r>
      <w:r>
        <w:rPr>
          <w:sz w:val="24"/>
          <w:szCs w:val="24"/>
        </w:rPr>
        <w:t xml:space="preserve"> by Year 5</w:t>
      </w:r>
    </w:p>
    <w:p w:rsidR="003E620C" w:rsidRDefault="003E620C" w:rsidP="003E620C">
      <w:pPr>
        <w:pStyle w:val="ListParagraph"/>
        <w:numPr>
          <w:ilvl w:val="0"/>
          <w:numId w:val="13"/>
        </w:numPr>
        <w:rPr>
          <w:sz w:val="24"/>
          <w:szCs w:val="24"/>
        </w:rPr>
      </w:pPr>
      <w:r>
        <w:rPr>
          <w:b/>
          <w:sz w:val="24"/>
          <w:szCs w:val="24"/>
        </w:rPr>
        <w:lastRenderedPageBreak/>
        <w:t>Asset Finance:</w:t>
      </w:r>
      <w:r>
        <w:rPr>
          <w:sz w:val="24"/>
          <w:szCs w:val="24"/>
        </w:rPr>
        <w:t xml:space="preserve"> L + </w:t>
      </w:r>
      <w:r w:rsidR="00E4409C">
        <w:rPr>
          <w:sz w:val="24"/>
          <w:szCs w:val="24"/>
        </w:rPr>
        <w:t>970 bps</w:t>
      </w:r>
      <w:r>
        <w:rPr>
          <w:sz w:val="24"/>
          <w:szCs w:val="24"/>
        </w:rPr>
        <w:t xml:space="preserve"> </w:t>
      </w:r>
      <w:r w:rsidRPr="003E620C">
        <w:rPr>
          <w:sz w:val="24"/>
          <w:szCs w:val="24"/>
        </w:rPr>
        <w:sym w:font="Wingdings" w:char="F0E0"/>
      </w:r>
      <w:r>
        <w:rPr>
          <w:sz w:val="24"/>
          <w:szCs w:val="24"/>
        </w:rPr>
        <w:t xml:space="preserve"> Declines to L + </w:t>
      </w:r>
      <w:r w:rsidR="00E4409C">
        <w:rPr>
          <w:sz w:val="24"/>
          <w:szCs w:val="24"/>
        </w:rPr>
        <w:t>890 bps</w:t>
      </w:r>
      <w:r>
        <w:rPr>
          <w:sz w:val="24"/>
          <w:szCs w:val="24"/>
        </w:rPr>
        <w:t xml:space="preserve"> by Year 5</w:t>
      </w:r>
    </w:p>
    <w:p w:rsidR="003E620C" w:rsidRDefault="003E620C" w:rsidP="003E620C">
      <w:pPr>
        <w:pStyle w:val="ListParagraph"/>
        <w:numPr>
          <w:ilvl w:val="0"/>
          <w:numId w:val="13"/>
        </w:numPr>
        <w:rPr>
          <w:sz w:val="24"/>
          <w:szCs w:val="24"/>
        </w:rPr>
      </w:pPr>
      <w:r>
        <w:rPr>
          <w:b/>
          <w:sz w:val="24"/>
          <w:szCs w:val="24"/>
        </w:rPr>
        <w:t>Business Credit:</w:t>
      </w:r>
      <w:r>
        <w:rPr>
          <w:sz w:val="24"/>
          <w:szCs w:val="24"/>
        </w:rPr>
        <w:t xml:space="preserve"> L + </w:t>
      </w:r>
      <w:r w:rsidR="00E4409C">
        <w:rPr>
          <w:sz w:val="24"/>
          <w:szCs w:val="24"/>
        </w:rPr>
        <w:t>670 bps</w:t>
      </w:r>
      <w:r>
        <w:rPr>
          <w:sz w:val="24"/>
          <w:szCs w:val="24"/>
        </w:rPr>
        <w:t xml:space="preserve"> </w:t>
      </w:r>
      <w:r w:rsidRPr="003E620C">
        <w:rPr>
          <w:sz w:val="24"/>
          <w:szCs w:val="24"/>
        </w:rPr>
        <w:sym w:font="Wingdings" w:char="F0E0"/>
      </w:r>
      <w:r>
        <w:rPr>
          <w:sz w:val="24"/>
          <w:szCs w:val="24"/>
        </w:rPr>
        <w:t xml:space="preserve"> Declines to L + </w:t>
      </w:r>
      <w:r w:rsidR="00E4409C">
        <w:rPr>
          <w:sz w:val="24"/>
          <w:szCs w:val="24"/>
        </w:rPr>
        <w:t>600 bps</w:t>
      </w:r>
      <w:r>
        <w:rPr>
          <w:sz w:val="24"/>
          <w:szCs w:val="24"/>
        </w:rPr>
        <w:t xml:space="preserve"> by Year 5</w:t>
      </w:r>
    </w:p>
    <w:p w:rsidR="003E620C" w:rsidRDefault="003E620C" w:rsidP="003E620C">
      <w:pPr>
        <w:pStyle w:val="ListParagraph"/>
        <w:numPr>
          <w:ilvl w:val="0"/>
          <w:numId w:val="13"/>
        </w:numPr>
        <w:rPr>
          <w:sz w:val="24"/>
          <w:szCs w:val="24"/>
        </w:rPr>
      </w:pPr>
      <w:r>
        <w:rPr>
          <w:b/>
          <w:sz w:val="24"/>
          <w:szCs w:val="24"/>
        </w:rPr>
        <w:t>Secured Lending:</w:t>
      </w:r>
      <w:r>
        <w:rPr>
          <w:sz w:val="24"/>
          <w:szCs w:val="24"/>
        </w:rPr>
        <w:t xml:space="preserve"> L + </w:t>
      </w:r>
      <w:r w:rsidR="00E4409C">
        <w:rPr>
          <w:sz w:val="24"/>
          <w:szCs w:val="24"/>
        </w:rPr>
        <w:t>980 bps</w:t>
      </w:r>
      <w:r>
        <w:rPr>
          <w:sz w:val="24"/>
          <w:szCs w:val="24"/>
        </w:rPr>
        <w:t xml:space="preserve"> </w:t>
      </w:r>
      <w:r w:rsidRPr="003E620C">
        <w:rPr>
          <w:sz w:val="24"/>
          <w:szCs w:val="24"/>
        </w:rPr>
        <w:sym w:font="Wingdings" w:char="F0E0"/>
      </w:r>
      <w:r>
        <w:rPr>
          <w:sz w:val="24"/>
          <w:szCs w:val="24"/>
        </w:rPr>
        <w:t xml:space="preserve"> Declines to L + </w:t>
      </w:r>
      <w:r w:rsidR="00E4409C">
        <w:rPr>
          <w:sz w:val="24"/>
          <w:szCs w:val="24"/>
        </w:rPr>
        <w:t xml:space="preserve">900 bps </w:t>
      </w:r>
      <w:r>
        <w:rPr>
          <w:sz w:val="24"/>
          <w:szCs w:val="24"/>
        </w:rPr>
        <w:t>by Year 5</w:t>
      </w:r>
    </w:p>
    <w:p w:rsidR="003E620C" w:rsidRPr="00E4409C" w:rsidRDefault="003E620C" w:rsidP="003E620C">
      <w:pPr>
        <w:pStyle w:val="ListParagraph"/>
        <w:numPr>
          <w:ilvl w:val="0"/>
          <w:numId w:val="13"/>
        </w:numPr>
        <w:rPr>
          <w:sz w:val="24"/>
          <w:szCs w:val="24"/>
        </w:rPr>
      </w:pPr>
      <w:r w:rsidRPr="00E4409C">
        <w:rPr>
          <w:b/>
          <w:sz w:val="24"/>
          <w:szCs w:val="24"/>
        </w:rPr>
        <w:t xml:space="preserve">Consumer Lending: </w:t>
      </w:r>
      <w:r w:rsidRPr="00E4409C">
        <w:rPr>
          <w:sz w:val="24"/>
          <w:szCs w:val="24"/>
        </w:rPr>
        <w:t xml:space="preserve">L + </w:t>
      </w:r>
      <w:r w:rsidR="00E4409C" w:rsidRPr="00E4409C">
        <w:rPr>
          <w:sz w:val="24"/>
          <w:szCs w:val="24"/>
        </w:rPr>
        <w:t>1140 bps</w:t>
      </w:r>
      <w:r w:rsidRPr="00E4409C">
        <w:rPr>
          <w:sz w:val="24"/>
          <w:szCs w:val="24"/>
        </w:rPr>
        <w:t xml:space="preserve"> </w:t>
      </w:r>
      <w:r w:rsidRPr="00E4409C">
        <w:rPr>
          <w:sz w:val="24"/>
          <w:szCs w:val="24"/>
        </w:rPr>
        <w:sym w:font="Wingdings" w:char="F0E0"/>
      </w:r>
      <w:r w:rsidRPr="00E4409C">
        <w:rPr>
          <w:sz w:val="24"/>
          <w:szCs w:val="24"/>
        </w:rPr>
        <w:t xml:space="preserve"> Declines to L + </w:t>
      </w:r>
      <w:r w:rsidR="00E4409C" w:rsidRPr="00E4409C">
        <w:rPr>
          <w:sz w:val="24"/>
          <w:szCs w:val="24"/>
        </w:rPr>
        <w:t>1000 bps</w:t>
      </w:r>
      <w:r w:rsidRPr="00E4409C">
        <w:rPr>
          <w:sz w:val="24"/>
          <w:szCs w:val="24"/>
        </w:rPr>
        <w:t xml:space="preserve"> by Year 5</w:t>
      </w:r>
    </w:p>
    <w:p w:rsidR="003E620C" w:rsidRDefault="003E620C" w:rsidP="003E620C">
      <w:pPr>
        <w:pStyle w:val="ListParagraph"/>
        <w:numPr>
          <w:ilvl w:val="0"/>
          <w:numId w:val="13"/>
        </w:numPr>
        <w:rPr>
          <w:sz w:val="24"/>
          <w:szCs w:val="24"/>
        </w:rPr>
      </w:pPr>
      <w:r>
        <w:rPr>
          <w:b/>
          <w:sz w:val="24"/>
          <w:szCs w:val="24"/>
        </w:rPr>
        <w:t>Average Interest Rate on Deposits:</w:t>
      </w:r>
      <w:r>
        <w:rPr>
          <w:sz w:val="24"/>
          <w:szCs w:val="24"/>
        </w:rPr>
        <w:t xml:space="preserve"> 2.6% </w:t>
      </w:r>
      <w:r w:rsidRPr="003E620C">
        <w:rPr>
          <w:sz w:val="24"/>
          <w:szCs w:val="24"/>
        </w:rPr>
        <w:sym w:font="Wingdings" w:char="F0E0"/>
      </w:r>
      <w:r>
        <w:rPr>
          <w:sz w:val="24"/>
          <w:szCs w:val="24"/>
        </w:rPr>
        <w:t xml:space="preserve"> Declines initially but then rises to 2.7%</w:t>
      </w:r>
      <w:r w:rsidR="0041788C">
        <w:rPr>
          <w:sz w:val="24"/>
          <w:szCs w:val="24"/>
        </w:rPr>
        <w:t xml:space="preserve"> by Year 5</w:t>
      </w:r>
    </w:p>
    <w:p w:rsidR="003E620C" w:rsidRDefault="003E620C" w:rsidP="003E620C">
      <w:pPr>
        <w:pStyle w:val="ListParagraph"/>
        <w:numPr>
          <w:ilvl w:val="0"/>
          <w:numId w:val="13"/>
        </w:numPr>
        <w:rPr>
          <w:sz w:val="24"/>
          <w:szCs w:val="24"/>
        </w:rPr>
      </w:pPr>
      <w:r>
        <w:rPr>
          <w:b/>
          <w:sz w:val="24"/>
          <w:szCs w:val="24"/>
        </w:rPr>
        <w:t>Average Interest Rate on All Interest-</w:t>
      </w:r>
      <w:r w:rsidRPr="003E620C">
        <w:rPr>
          <w:b/>
          <w:sz w:val="24"/>
          <w:szCs w:val="24"/>
        </w:rPr>
        <w:t>Bearing Liabilities:</w:t>
      </w:r>
      <w:r>
        <w:rPr>
          <w:sz w:val="24"/>
          <w:szCs w:val="24"/>
        </w:rPr>
        <w:t xml:space="preserve"> 2.7% </w:t>
      </w:r>
      <w:r w:rsidRPr="003E620C">
        <w:rPr>
          <w:sz w:val="24"/>
          <w:szCs w:val="24"/>
        </w:rPr>
        <w:sym w:font="Wingdings" w:char="F0E0"/>
      </w:r>
      <w:r>
        <w:rPr>
          <w:sz w:val="24"/>
          <w:szCs w:val="24"/>
        </w:rPr>
        <w:t xml:space="preserve"> Declines initially but then rises to 3.0% by Year 5</w:t>
      </w:r>
    </w:p>
    <w:p w:rsidR="003E620C" w:rsidRDefault="003E620C" w:rsidP="00B01AEC">
      <w:pPr>
        <w:rPr>
          <w:sz w:val="24"/>
          <w:szCs w:val="24"/>
        </w:rPr>
      </w:pPr>
      <w:r>
        <w:rPr>
          <w:sz w:val="24"/>
          <w:szCs w:val="24"/>
        </w:rPr>
        <w:t xml:space="preserve">With those assumptions, the company’s implied share price falls </w:t>
      </w:r>
      <w:r w:rsidR="00B632C7">
        <w:rPr>
          <w:sz w:val="24"/>
          <w:szCs w:val="24"/>
        </w:rPr>
        <w:t xml:space="preserve">by </w:t>
      </w:r>
      <w:r w:rsidR="00B632C7" w:rsidRPr="00CA5030">
        <w:rPr>
          <w:sz w:val="24"/>
          <w:szCs w:val="24"/>
        </w:rPr>
        <w:t>£</w:t>
      </w:r>
      <w:r w:rsidR="00B632C7">
        <w:rPr>
          <w:sz w:val="24"/>
          <w:szCs w:val="24"/>
        </w:rPr>
        <w:t xml:space="preserve">0.30 to </w:t>
      </w:r>
      <w:r w:rsidR="00B632C7" w:rsidRPr="00CA5030">
        <w:rPr>
          <w:sz w:val="24"/>
          <w:szCs w:val="24"/>
        </w:rPr>
        <w:t>£</w:t>
      </w:r>
      <w:r w:rsidR="00B632C7">
        <w:rPr>
          <w:sz w:val="24"/>
          <w:szCs w:val="24"/>
        </w:rPr>
        <w:t xml:space="preserve">0.40 across </w:t>
      </w:r>
      <w:r w:rsidR="0041788C">
        <w:rPr>
          <w:sz w:val="24"/>
          <w:szCs w:val="24"/>
        </w:rPr>
        <w:t>much of</w:t>
      </w:r>
      <w:r w:rsidR="00B632C7">
        <w:rPr>
          <w:sz w:val="24"/>
          <w:szCs w:val="24"/>
        </w:rPr>
        <w:t xml:space="preserve"> the table, representing a differential of </w:t>
      </w:r>
      <w:r w:rsidR="00B632C7">
        <w:rPr>
          <w:b/>
          <w:sz w:val="24"/>
          <w:szCs w:val="24"/>
        </w:rPr>
        <w:t>10-15%</w:t>
      </w:r>
      <w:r w:rsidR="0041788C">
        <w:rPr>
          <w:sz w:val="24"/>
          <w:szCs w:val="24"/>
        </w:rPr>
        <w:t xml:space="preserve"> vs. Shawbrook’s current share price</w:t>
      </w:r>
      <w:r w:rsidR="00B632C7">
        <w:rPr>
          <w:sz w:val="24"/>
          <w:szCs w:val="24"/>
        </w:rPr>
        <w:t>:</w:t>
      </w:r>
    </w:p>
    <w:p w:rsidR="00B632C7" w:rsidRPr="00B632C7" w:rsidRDefault="00B632C7" w:rsidP="00B632C7">
      <w:pPr>
        <w:ind w:left="-1350"/>
        <w:rPr>
          <w:sz w:val="24"/>
          <w:szCs w:val="24"/>
        </w:rPr>
      </w:pPr>
      <w:r w:rsidRPr="00B632C7">
        <w:rPr>
          <w:noProof/>
          <w:lang w:eastAsia="zh-CN"/>
        </w:rPr>
        <w:drawing>
          <wp:inline distT="0" distB="0" distL="0" distR="0" wp14:anchorId="48A3C7DC" wp14:editId="2EC79A78">
            <wp:extent cx="7641204" cy="136415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693948" cy="1373567"/>
                    </a:xfrm>
                    <a:prstGeom prst="rect">
                      <a:avLst/>
                    </a:prstGeom>
                  </pic:spPr>
                </pic:pic>
              </a:graphicData>
            </a:graphic>
          </wp:inline>
        </w:drawing>
      </w:r>
    </w:p>
    <w:p w:rsidR="003E620C" w:rsidRDefault="004C0720" w:rsidP="00B01AEC">
      <w:pPr>
        <w:rPr>
          <w:sz w:val="24"/>
          <w:szCs w:val="24"/>
        </w:rPr>
      </w:pPr>
      <w:r>
        <w:rPr>
          <w:sz w:val="24"/>
          <w:szCs w:val="24"/>
        </w:rPr>
        <w:t xml:space="preserve">Most research analysts </w:t>
      </w:r>
      <w:r w:rsidR="000A6DB0">
        <w:rPr>
          <w:sz w:val="24"/>
          <w:szCs w:val="24"/>
        </w:rPr>
        <w:t xml:space="preserve">predict that </w:t>
      </w:r>
      <w:r>
        <w:rPr>
          <w:sz w:val="24"/>
          <w:szCs w:val="24"/>
        </w:rPr>
        <w:t xml:space="preserve">gross asset yields </w:t>
      </w:r>
      <w:r w:rsidR="000A6DB0">
        <w:rPr>
          <w:sz w:val="24"/>
          <w:szCs w:val="24"/>
        </w:rPr>
        <w:t xml:space="preserve">will </w:t>
      </w:r>
      <w:r>
        <w:rPr>
          <w:sz w:val="24"/>
          <w:szCs w:val="24"/>
        </w:rPr>
        <w:t xml:space="preserve">stay about the </w:t>
      </w:r>
      <w:r w:rsidRPr="00510981">
        <w:rPr>
          <w:noProof/>
          <w:sz w:val="24"/>
          <w:szCs w:val="24"/>
        </w:rPr>
        <w:t>same</w:t>
      </w:r>
      <w:r>
        <w:rPr>
          <w:sz w:val="24"/>
          <w:szCs w:val="24"/>
        </w:rPr>
        <w:t xml:space="preserve"> </w:t>
      </w:r>
      <w:r w:rsidR="000A6DB0">
        <w:rPr>
          <w:sz w:val="24"/>
          <w:szCs w:val="24"/>
        </w:rPr>
        <w:t>and that liability yields will decrease or stay the same:</w:t>
      </w:r>
    </w:p>
    <w:p w:rsidR="004C0720" w:rsidRDefault="004C0720" w:rsidP="00B01AEC">
      <w:pPr>
        <w:rPr>
          <w:sz w:val="24"/>
          <w:szCs w:val="24"/>
        </w:rPr>
      </w:pPr>
      <w:r w:rsidRPr="004C0720">
        <w:rPr>
          <w:noProof/>
          <w:lang w:eastAsia="zh-CN"/>
        </w:rPr>
        <w:drawing>
          <wp:inline distT="0" distB="0" distL="0" distR="0" wp14:anchorId="1DF738B6" wp14:editId="07761C96">
            <wp:extent cx="5943600" cy="26631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663190"/>
                    </a:xfrm>
                    <a:prstGeom prst="rect">
                      <a:avLst/>
                    </a:prstGeom>
                  </pic:spPr>
                </pic:pic>
              </a:graphicData>
            </a:graphic>
          </wp:inline>
        </w:drawing>
      </w:r>
    </w:p>
    <w:p w:rsidR="00AC0714" w:rsidRDefault="004C0720" w:rsidP="00B01AEC">
      <w:pPr>
        <w:rPr>
          <w:sz w:val="24"/>
          <w:szCs w:val="24"/>
        </w:rPr>
      </w:pPr>
      <w:r>
        <w:rPr>
          <w:sz w:val="24"/>
          <w:szCs w:val="24"/>
        </w:rPr>
        <w:lastRenderedPageBreak/>
        <w:t>However, we believe that asset yields will decrease while the rates pai</w:t>
      </w:r>
      <w:r w:rsidR="00243E64">
        <w:rPr>
          <w:sz w:val="24"/>
          <w:szCs w:val="24"/>
        </w:rPr>
        <w:t xml:space="preserve">d on liabilities will increase </w:t>
      </w:r>
      <w:r>
        <w:rPr>
          <w:sz w:val="24"/>
          <w:szCs w:val="24"/>
        </w:rPr>
        <w:t>for the following reasons:</w:t>
      </w:r>
    </w:p>
    <w:p w:rsidR="004C0720" w:rsidRPr="004C0720" w:rsidRDefault="00243E64" w:rsidP="004C0720">
      <w:pPr>
        <w:pStyle w:val="ListParagraph"/>
        <w:numPr>
          <w:ilvl w:val="0"/>
          <w:numId w:val="14"/>
        </w:numPr>
        <w:rPr>
          <w:sz w:val="24"/>
          <w:szCs w:val="24"/>
        </w:rPr>
      </w:pPr>
      <w:r w:rsidRPr="0046042B">
        <w:rPr>
          <w:b/>
          <w:sz w:val="24"/>
          <w:szCs w:val="24"/>
        </w:rPr>
        <w:t xml:space="preserve">Shawbrook is </w:t>
      </w:r>
      <w:r w:rsidR="0046042B" w:rsidRPr="0046042B">
        <w:rPr>
          <w:b/>
          <w:sz w:val="24"/>
          <w:szCs w:val="24"/>
        </w:rPr>
        <w:t>already charging rates higher than most of its specialty lender competitors</w:t>
      </w:r>
      <w:r w:rsidR="0046042B">
        <w:rPr>
          <w:sz w:val="24"/>
          <w:szCs w:val="24"/>
        </w:rPr>
        <w:t xml:space="preserve"> on its commercial mortgages:</w:t>
      </w:r>
    </w:p>
    <w:p w:rsidR="004C0720" w:rsidRDefault="0046042B" w:rsidP="0046042B">
      <w:pPr>
        <w:ind w:left="-1260"/>
        <w:rPr>
          <w:sz w:val="24"/>
          <w:szCs w:val="24"/>
        </w:rPr>
      </w:pPr>
      <w:r w:rsidRPr="0046042B">
        <w:rPr>
          <w:noProof/>
          <w:lang w:eastAsia="zh-CN"/>
        </w:rPr>
        <w:drawing>
          <wp:inline distT="0" distB="0" distL="0" distR="0" wp14:anchorId="4A064441" wp14:editId="53B32A62">
            <wp:extent cx="7458324" cy="26327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07250" cy="2649995"/>
                    </a:xfrm>
                    <a:prstGeom prst="rect">
                      <a:avLst/>
                    </a:prstGeom>
                  </pic:spPr>
                </pic:pic>
              </a:graphicData>
            </a:graphic>
          </wp:inline>
        </w:drawing>
      </w:r>
    </w:p>
    <w:p w:rsidR="0046042B" w:rsidRPr="00E96C69" w:rsidRDefault="0046042B" w:rsidP="00E96C69">
      <w:pPr>
        <w:pStyle w:val="ListParagraph"/>
        <w:numPr>
          <w:ilvl w:val="0"/>
          <w:numId w:val="14"/>
        </w:numPr>
        <w:rPr>
          <w:sz w:val="24"/>
          <w:szCs w:val="24"/>
        </w:rPr>
      </w:pPr>
      <w:r w:rsidRPr="00E96C69">
        <w:rPr>
          <w:b/>
          <w:sz w:val="24"/>
          <w:szCs w:val="24"/>
        </w:rPr>
        <w:t xml:space="preserve">However, there </w:t>
      </w:r>
      <w:r w:rsidR="000A6DB0">
        <w:rPr>
          <w:b/>
          <w:sz w:val="24"/>
          <w:szCs w:val="24"/>
        </w:rPr>
        <w:t xml:space="preserve">is no </w:t>
      </w:r>
      <w:r w:rsidRPr="00E96C69">
        <w:rPr>
          <w:b/>
          <w:sz w:val="24"/>
          <w:szCs w:val="24"/>
        </w:rPr>
        <w:t xml:space="preserve">clear </w:t>
      </w:r>
      <w:r w:rsidRPr="00510981">
        <w:rPr>
          <w:b/>
          <w:noProof/>
          <w:sz w:val="24"/>
          <w:szCs w:val="24"/>
        </w:rPr>
        <w:t>reason</w:t>
      </w:r>
      <w:r w:rsidRPr="00E96C69">
        <w:rPr>
          <w:b/>
          <w:sz w:val="24"/>
          <w:szCs w:val="24"/>
        </w:rPr>
        <w:t xml:space="preserve"> landlords will continue to accept these rates</w:t>
      </w:r>
      <w:r w:rsidRPr="00E96C69">
        <w:rPr>
          <w:sz w:val="24"/>
          <w:szCs w:val="24"/>
        </w:rPr>
        <w:t>; one landlord who owns five properties in London made the follow</w:t>
      </w:r>
      <w:r w:rsidR="000A6DB0">
        <w:rPr>
          <w:sz w:val="24"/>
          <w:szCs w:val="24"/>
        </w:rPr>
        <w:t>ing comments regarding mortgage</w:t>
      </w:r>
      <w:r w:rsidRPr="00E96C69">
        <w:rPr>
          <w:sz w:val="24"/>
          <w:szCs w:val="24"/>
        </w:rPr>
        <w:t xml:space="preserve"> pricing and lender selection:</w:t>
      </w:r>
    </w:p>
    <w:p w:rsidR="0046042B" w:rsidRPr="0046042B" w:rsidRDefault="0046042B" w:rsidP="00B01AEC">
      <w:pPr>
        <w:rPr>
          <w:i/>
          <w:sz w:val="24"/>
          <w:szCs w:val="24"/>
        </w:rPr>
      </w:pPr>
      <w:r w:rsidRPr="0046042B">
        <w:rPr>
          <w:i/>
          <w:sz w:val="24"/>
          <w:szCs w:val="24"/>
        </w:rPr>
        <w:t xml:space="preserve">“I have so </w:t>
      </w:r>
      <w:r w:rsidRPr="00510981">
        <w:rPr>
          <w:i/>
          <w:noProof/>
          <w:sz w:val="24"/>
          <w:szCs w:val="24"/>
        </w:rPr>
        <w:t>many</w:t>
      </w:r>
      <w:r w:rsidRPr="0046042B">
        <w:rPr>
          <w:i/>
          <w:sz w:val="24"/>
          <w:szCs w:val="24"/>
        </w:rPr>
        <w:t xml:space="preserve"> more options than I did even 2-3 years ago that I’m still undecided. I get better service from the smaller banks, but within that group, there’s quite a bit of variance in pricing, with some banks charging </w:t>
      </w:r>
      <w:r w:rsidRPr="0046042B">
        <w:rPr>
          <w:b/>
          <w:i/>
          <w:sz w:val="24"/>
          <w:szCs w:val="24"/>
        </w:rPr>
        <w:t>1-2%</w:t>
      </w:r>
      <w:r w:rsidRPr="0046042B">
        <w:rPr>
          <w:i/>
          <w:sz w:val="24"/>
          <w:szCs w:val="24"/>
        </w:rPr>
        <w:t xml:space="preserve"> more than others on similar mortgages.”</w:t>
      </w:r>
    </w:p>
    <w:p w:rsidR="004C0720" w:rsidRDefault="0046042B" w:rsidP="00B01AEC">
      <w:pPr>
        <w:rPr>
          <w:sz w:val="24"/>
          <w:szCs w:val="24"/>
        </w:rPr>
      </w:pPr>
      <w:r>
        <w:rPr>
          <w:sz w:val="24"/>
          <w:szCs w:val="24"/>
        </w:rPr>
        <w:t>Given that the fees, LTV ratios, and other terms are similar, we believe there is a strong likelihood that the company’s yields will decline in the future.</w:t>
      </w:r>
    </w:p>
    <w:p w:rsidR="0046042B" w:rsidRDefault="000A6DB0" w:rsidP="00B01AEC">
      <w:pPr>
        <w:rPr>
          <w:sz w:val="24"/>
          <w:szCs w:val="24"/>
        </w:rPr>
      </w:pPr>
      <w:r>
        <w:rPr>
          <w:sz w:val="24"/>
          <w:szCs w:val="24"/>
        </w:rPr>
        <w:t>Additionally, the company’s Gross Asset Y</w:t>
      </w:r>
      <w:r w:rsidR="007928FC">
        <w:rPr>
          <w:sz w:val="24"/>
          <w:szCs w:val="24"/>
        </w:rPr>
        <w:t xml:space="preserve">ield has already declined by 2.0% over the past 3.5 years when there was </w:t>
      </w:r>
      <w:r w:rsidR="007928FC">
        <w:rPr>
          <w:i/>
          <w:sz w:val="24"/>
          <w:szCs w:val="24"/>
        </w:rPr>
        <w:t>less</w:t>
      </w:r>
      <w:r w:rsidR="007928FC">
        <w:rPr>
          <w:sz w:val="24"/>
          <w:szCs w:val="24"/>
        </w:rPr>
        <w:t xml:space="preserve"> competition in the market:</w:t>
      </w:r>
    </w:p>
    <w:p w:rsidR="004C0720" w:rsidRDefault="007928FC" w:rsidP="00B01AEC">
      <w:pPr>
        <w:rPr>
          <w:sz w:val="24"/>
          <w:szCs w:val="24"/>
        </w:rPr>
      </w:pPr>
      <w:r w:rsidRPr="007928FC">
        <w:rPr>
          <w:noProof/>
          <w:lang w:eastAsia="zh-CN"/>
        </w:rPr>
        <w:lastRenderedPageBreak/>
        <w:drawing>
          <wp:inline distT="0" distB="0" distL="0" distR="0" wp14:anchorId="430E422E" wp14:editId="73D922CB">
            <wp:extent cx="5943600" cy="25831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83180"/>
                    </a:xfrm>
                    <a:prstGeom prst="rect">
                      <a:avLst/>
                    </a:prstGeom>
                  </pic:spPr>
                </pic:pic>
              </a:graphicData>
            </a:graphic>
          </wp:inline>
        </w:drawing>
      </w:r>
    </w:p>
    <w:p w:rsidR="007928FC" w:rsidRDefault="007928FC" w:rsidP="00B01AEC">
      <w:pPr>
        <w:rPr>
          <w:sz w:val="24"/>
          <w:szCs w:val="24"/>
        </w:rPr>
      </w:pPr>
      <w:r>
        <w:rPr>
          <w:sz w:val="24"/>
          <w:szCs w:val="24"/>
        </w:rPr>
        <w:t xml:space="preserve">On the </w:t>
      </w:r>
      <w:r w:rsidRPr="007928FC">
        <w:rPr>
          <w:b/>
          <w:sz w:val="24"/>
          <w:szCs w:val="24"/>
        </w:rPr>
        <w:t>cost of funding</w:t>
      </w:r>
      <w:r>
        <w:rPr>
          <w:sz w:val="24"/>
          <w:szCs w:val="24"/>
        </w:rPr>
        <w:t xml:space="preserve"> side, the company has seen a substantial decline over the past 3.5 years, resulting in its Net Interest Margin (NIM) increasing </w:t>
      </w:r>
      <w:r w:rsidR="00EB6508">
        <w:rPr>
          <w:sz w:val="24"/>
          <w:szCs w:val="24"/>
        </w:rPr>
        <w:t>(see the diagram above).</w:t>
      </w:r>
    </w:p>
    <w:p w:rsidR="007928FC" w:rsidRDefault="007928FC" w:rsidP="00B01AEC">
      <w:pPr>
        <w:rPr>
          <w:sz w:val="24"/>
          <w:szCs w:val="24"/>
        </w:rPr>
      </w:pPr>
      <w:r>
        <w:rPr>
          <w:b/>
          <w:sz w:val="24"/>
          <w:szCs w:val="24"/>
        </w:rPr>
        <w:t>However</w:t>
      </w:r>
      <w:r>
        <w:rPr>
          <w:sz w:val="24"/>
          <w:szCs w:val="24"/>
        </w:rPr>
        <w:t>, we are skeptical that this trend will continue for two key reasons:</w:t>
      </w:r>
    </w:p>
    <w:p w:rsidR="007928FC" w:rsidRDefault="008D322B" w:rsidP="007928FC">
      <w:pPr>
        <w:pStyle w:val="ListParagraph"/>
        <w:numPr>
          <w:ilvl w:val="0"/>
          <w:numId w:val="15"/>
        </w:numPr>
        <w:rPr>
          <w:sz w:val="24"/>
          <w:szCs w:val="24"/>
        </w:rPr>
      </w:pPr>
      <w:r>
        <w:rPr>
          <w:b/>
          <w:sz w:val="24"/>
          <w:szCs w:val="24"/>
        </w:rPr>
        <w:t>Fifty percent</w:t>
      </w:r>
      <w:r w:rsidR="00EC182E">
        <w:rPr>
          <w:b/>
          <w:sz w:val="24"/>
          <w:szCs w:val="24"/>
        </w:rPr>
        <w:t xml:space="preserve"> of Shawbrook’s funding consists of deposits with terms of </w:t>
      </w:r>
      <w:r>
        <w:rPr>
          <w:b/>
          <w:sz w:val="24"/>
          <w:szCs w:val="24"/>
        </w:rPr>
        <w:t xml:space="preserve">less </w:t>
      </w:r>
      <w:r w:rsidR="00EC182E">
        <w:rPr>
          <w:b/>
          <w:sz w:val="24"/>
          <w:szCs w:val="24"/>
        </w:rPr>
        <w:t>than one year.</w:t>
      </w:r>
      <w:r w:rsidR="00EC182E">
        <w:rPr>
          <w:sz w:val="24"/>
          <w:szCs w:val="24"/>
        </w:rPr>
        <w:t xml:space="preserve"> Analysts publish charts like the one below, but they ignore </w:t>
      </w:r>
      <w:r>
        <w:rPr>
          <w:sz w:val="24"/>
          <w:szCs w:val="24"/>
        </w:rPr>
        <w:t xml:space="preserve">how </w:t>
      </w:r>
      <w:r w:rsidR="00EC182E">
        <w:rPr>
          <w:sz w:val="24"/>
          <w:szCs w:val="24"/>
        </w:rPr>
        <w:t xml:space="preserve">~75% fixed-rate deposits won’t help much </w:t>
      </w:r>
      <w:r>
        <w:rPr>
          <w:sz w:val="24"/>
          <w:szCs w:val="24"/>
        </w:rPr>
        <w:t xml:space="preserve">if </w:t>
      </w:r>
      <w:r w:rsidR="00EC182E">
        <w:rPr>
          <w:sz w:val="24"/>
          <w:szCs w:val="24"/>
        </w:rPr>
        <w:t xml:space="preserve">half the company’s funding is short-term and interest rates </w:t>
      </w:r>
      <w:r>
        <w:rPr>
          <w:sz w:val="24"/>
          <w:szCs w:val="24"/>
        </w:rPr>
        <w:t xml:space="preserve">are set to </w:t>
      </w:r>
      <w:r w:rsidR="00EC182E">
        <w:rPr>
          <w:sz w:val="24"/>
          <w:szCs w:val="24"/>
        </w:rPr>
        <w:t>rise over the next several years:</w:t>
      </w:r>
    </w:p>
    <w:p w:rsidR="00EC182E" w:rsidRDefault="00EC182E" w:rsidP="00EC182E">
      <w:pPr>
        <w:ind w:left="-1260"/>
        <w:rPr>
          <w:sz w:val="24"/>
          <w:szCs w:val="24"/>
        </w:rPr>
      </w:pPr>
      <w:r w:rsidRPr="00EC182E">
        <w:rPr>
          <w:noProof/>
          <w:lang w:eastAsia="zh-CN"/>
        </w:rPr>
        <w:drawing>
          <wp:inline distT="0" distB="0" distL="0" distR="0" wp14:anchorId="00D8BB78" wp14:editId="55300A1B">
            <wp:extent cx="7402665" cy="2586187"/>
            <wp:effectExtent l="0" t="0" r="825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444403" cy="2600769"/>
                    </a:xfrm>
                    <a:prstGeom prst="rect">
                      <a:avLst/>
                    </a:prstGeom>
                  </pic:spPr>
                </pic:pic>
              </a:graphicData>
            </a:graphic>
          </wp:inline>
        </w:drawing>
      </w:r>
    </w:p>
    <w:p w:rsidR="00EC182E" w:rsidRPr="007928FC" w:rsidRDefault="00EC182E" w:rsidP="007928FC">
      <w:pPr>
        <w:pStyle w:val="ListParagraph"/>
        <w:numPr>
          <w:ilvl w:val="0"/>
          <w:numId w:val="15"/>
        </w:numPr>
        <w:rPr>
          <w:sz w:val="24"/>
          <w:szCs w:val="24"/>
        </w:rPr>
      </w:pPr>
      <w:r>
        <w:rPr>
          <w:b/>
          <w:sz w:val="24"/>
          <w:szCs w:val="24"/>
        </w:rPr>
        <w:lastRenderedPageBreak/>
        <w:t>Interest rates will almost certainly rise by a modest amount over the next five years.</w:t>
      </w:r>
      <w:r>
        <w:rPr>
          <w:sz w:val="24"/>
          <w:szCs w:val="24"/>
        </w:rPr>
        <w:t xml:space="preserve"> </w:t>
      </w:r>
      <w:r w:rsidR="00FB5926">
        <w:rPr>
          <w:sz w:val="24"/>
          <w:szCs w:val="24"/>
        </w:rPr>
        <w:t xml:space="preserve">While the Bank of England has kept rates at 0.5% for seven years in a row, rates cannot remain that low forever. Even if they do not return to “normal” levels anytime soon, an increase </w:t>
      </w:r>
      <w:r w:rsidR="00FB5926" w:rsidRPr="00510981">
        <w:rPr>
          <w:noProof/>
          <w:sz w:val="24"/>
          <w:szCs w:val="24"/>
        </w:rPr>
        <w:t>to</w:t>
      </w:r>
      <w:r w:rsidR="00FB5926">
        <w:rPr>
          <w:sz w:val="24"/>
          <w:szCs w:val="24"/>
        </w:rPr>
        <w:t xml:space="preserve"> </w:t>
      </w:r>
      <w:r w:rsidR="00FB5926">
        <w:rPr>
          <w:i/>
          <w:sz w:val="24"/>
          <w:szCs w:val="24"/>
        </w:rPr>
        <w:t>at least</w:t>
      </w:r>
      <w:r w:rsidR="00FB5926">
        <w:rPr>
          <w:sz w:val="24"/>
          <w:szCs w:val="24"/>
        </w:rPr>
        <w:t xml:space="preserve"> 1.0% over the next five years seems plausible. Forward market interest rates imply the following patterns:</w:t>
      </w:r>
    </w:p>
    <w:p w:rsidR="007928FC" w:rsidRDefault="00FB5926" w:rsidP="00FB5926">
      <w:pPr>
        <w:jc w:val="center"/>
        <w:rPr>
          <w:sz w:val="24"/>
          <w:szCs w:val="24"/>
        </w:rPr>
      </w:pPr>
      <w:r w:rsidRPr="00FB5926">
        <w:rPr>
          <w:noProof/>
          <w:lang w:eastAsia="zh-CN"/>
        </w:rPr>
        <w:drawing>
          <wp:inline distT="0" distB="0" distL="0" distR="0" wp14:anchorId="726F422C" wp14:editId="3F36635B">
            <wp:extent cx="5124616" cy="2602276"/>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43761" cy="2611998"/>
                    </a:xfrm>
                    <a:prstGeom prst="rect">
                      <a:avLst/>
                    </a:prstGeom>
                  </pic:spPr>
                </pic:pic>
              </a:graphicData>
            </a:graphic>
          </wp:inline>
        </w:drawing>
      </w:r>
    </w:p>
    <w:p w:rsidR="007928FC" w:rsidRDefault="00FB5926" w:rsidP="00B01AEC">
      <w:pPr>
        <w:rPr>
          <w:sz w:val="24"/>
          <w:szCs w:val="24"/>
        </w:rPr>
      </w:pPr>
      <w:r>
        <w:rPr>
          <w:sz w:val="24"/>
          <w:szCs w:val="24"/>
        </w:rPr>
        <w:t xml:space="preserve">Additionally, Howard Archer, chief economist at IHS Global Insight, </w:t>
      </w:r>
      <w:r w:rsidR="008D322B">
        <w:rPr>
          <w:sz w:val="24"/>
          <w:szCs w:val="24"/>
        </w:rPr>
        <w:t xml:space="preserve">recently </w:t>
      </w:r>
      <w:r>
        <w:rPr>
          <w:sz w:val="24"/>
          <w:szCs w:val="24"/>
        </w:rPr>
        <w:t>made the following comments on interest rates:</w:t>
      </w:r>
    </w:p>
    <w:p w:rsidR="00FB5926" w:rsidRPr="00FB5926" w:rsidRDefault="00FB5926" w:rsidP="00FB5926">
      <w:pPr>
        <w:rPr>
          <w:i/>
          <w:sz w:val="24"/>
          <w:szCs w:val="24"/>
        </w:rPr>
      </w:pPr>
      <w:r w:rsidRPr="00FB5926">
        <w:rPr>
          <w:i/>
          <w:sz w:val="24"/>
          <w:szCs w:val="24"/>
        </w:rPr>
        <w:t xml:space="preserve">“We expect the Bank of England </w:t>
      </w:r>
      <w:r w:rsidRPr="00510981">
        <w:rPr>
          <w:i/>
          <w:noProof/>
          <w:sz w:val="24"/>
          <w:szCs w:val="24"/>
        </w:rPr>
        <w:t>to only lift</w:t>
      </w:r>
      <w:r w:rsidRPr="00FB5926">
        <w:rPr>
          <w:i/>
          <w:sz w:val="24"/>
          <w:szCs w:val="24"/>
        </w:rPr>
        <w:t xml:space="preserve"> interest rates to 1.25 </w:t>
      </w:r>
      <w:r w:rsidRPr="00510981">
        <w:rPr>
          <w:i/>
          <w:noProof/>
          <w:sz w:val="24"/>
          <w:szCs w:val="24"/>
        </w:rPr>
        <w:t>per cent</w:t>
      </w:r>
      <w:r w:rsidRPr="00FB5926">
        <w:rPr>
          <w:i/>
          <w:sz w:val="24"/>
          <w:szCs w:val="24"/>
        </w:rPr>
        <w:t xml:space="preserve"> by end-2017 and 2.25 </w:t>
      </w:r>
      <w:r w:rsidRPr="00510981">
        <w:rPr>
          <w:i/>
          <w:noProof/>
          <w:sz w:val="24"/>
          <w:szCs w:val="24"/>
        </w:rPr>
        <w:t>per cent</w:t>
      </w:r>
      <w:r w:rsidRPr="00FB5926">
        <w:rPr>
          <w:i/>
          <w:sz w:val="24"/>
          <w:szCs w:val="24"/>
        </w:rPr>
        <w:t xml:space="preserve"> by end-2018.”</w:t>
      </w:r>
    </w:p>
    <w:p w:rsidR="004C0720" w:rsidRDefault="00FB5926" w:rsidP="00B01AEC">
      <w:pPr>
        <w:rPr>
          <w:sz w:val="24"/>
          <w:szCs w:val="24"/>
        </w:rPr>
      </w:pPr>
      <w:r>
        <w:rPr>
          <w:sz w:val="24"/>
          <w:szCs w:val="24"/>
        </w:rPr>
        <w:t>Another anonymous source close to the Bank of England made the following comments:</w:t>
      </w:r>
    </w:p>
    <w:p w:rsidR="00FB5926" w:rsidRPr="00FB5926" w:rsidRDefault="00FB5926" w:rsidP="00B01AEC">
      <w:pPr>
        <w:rPr>
          <w:i/>
          <w:sz w:val="24"/>
          <w:szCs w:val="24"/>
        </w:rPr>
      </w:pPr>
      <w:r w:rsidRPr="00FB5926">
        <w:rPr>
          <w:i/>
          <w:sz w:val="24"/>
          <w:szCs w:val="24"/>
        </w:rPr>
        <w:t>“You’re unlikely to see interest rates above 1.0% for the next few years, and any rate increases will be gradual and will rise to a lower level than in past periods.”</w:t>
      </w:r>
    </w:p>
    <w:p w:rsidR="00FB5926" w:rsidRPr="00FB5926" w:rsidRDefault="00FB5926" w:rsidP="00B01AEC">
      <w:pPr>
        <w:rPr>
          <w:sz w:val="24"/>
          <w:szCs w:val="24"/>
        </w:rPr>
      </w:pPr>
      <w:r>
        <w:rPr>
          <w:sz w:val="24"/>
          <w:szCs w:val="24"/>
        </w:rPr>
        <w:t xml:space="preserve">So while there is disagreement over the timing and magnitude of rate increases, everyone </w:t>
      </w:r>
      <w:r w:rsidR="008D322B">
        <w:rPr>
          <w:sz w:val="24"/>
          <w:szCs w:val="24"/>
        </w:rPr>
        <w:t xml:space="preserve">agrees </w:t>
      </w:r>
      <w:r>
        <w:rPr>
          <w:sz w:val="24"/>
          <w:szCs w:val="24"/>
        </w:rPr>
        <w:t xml:space="preserve">that there will be at least </w:t>
      </w:r>
      <w:r>
        <w:rPr>
          <w:i/>
          <w:sz w:val="24"/>
          <w:szCs w:val="24"/>
        </w:rPr>
        <w:t>some</w:t>
      </w:r>
      <w:r>
        <w:rPr>
          <w:sz w:val="24"/>
          <w:szCs w:val="24"/>
        </w:rPr>
        <w:t xml:space="preserve"> increase in the next five years.</w:t>
      </w:r>
    </w:p>
    <w:p w:rsidR="00FB5926" w:rsidRDefault="00E96C69" w:rsidP="00B01AEC">
      <w:pPr>
        <w:rPr>
          <w:sz w:val="24"/>
          <w:szCs w:val="24"/>
        </w:rPr>
      </w:pPr>
      <w:r>
        <w:rPr>
          <w:sz w:val="24"/>
          <w:szCs w:val="24"/>
        </w:rPr>
        <w:t xml:space="preserve">This change will negatively impact Shawbrook because its loan interest spreads are expected to decline, meaning that its Gross Asset Yields will stay about the same or fall </w:t>
      </w:r>
      <w:r w:rsidRPr="00510981">
        <w:rPr>
          <w:noProof/>
          <w:sz w:val="24"/>
          <w:szCs w:val="24"/>
        </w:rPr>
        <w:t>slightly</w:t>
      </w:r>
      <w:r>
        <w:rPr>
          <w:sz w:val="24"/>
          <w:szCs w:val="24"/>
        </w:rPr>
        <w:t xml:space="preserve"> while its funding costs rise slightly.</w:t>
      </w:r>
    </w:p>
    <w:p w:rsidR="00E96C69" w:rsidRDefault="00E96C69" w:rsidP="00B01AEC">
      <w:pPr>
        <w:rPr>
          <w:sz w:val="24"/>
          <w:szCs w:val="24"/>
        </w:rPr>
      </w:pPr>
      <w:r>
        <w:rPr>
          <w:sz w:val="24"/>
          <w:szCs w:val="24"/>
        </w:rPr>
        <w:lastRenderedPageBreak/>
        <w:t xml:space="preserve">All these factors represent catalysts that could reduce Shawbrook’s share price to our targeted range of </w:t>
      </w:r>
      <w:r w:rsidRPr="00E96C69">
        <w:rPr>
          <w:b/>
          <w:sz w:val="24"/>
          <w:szCs w:val="24"/>
        </w:rPr>
        <w:t xml:space="preserve">£1.73 – £2.38 </w:t>
      </w:r>
      <w:r>
        <w:rPr>
          <w:sz w:val="24"/>
          <w:szCs w:val="24"/>
        </w:rPr>
        <w:t>(a 27% – 47% decline) in the next 12 months.</w:t>
      </w:r>
    </w:p>
    <w:p w:rsidR="00E96C69" w:rsidRDefault="00E96C69" w:rsidP="00B01AEC">
      <w:pPr>
        <w:rPr>
          <w:sz w:val="24"/>
          <w:szCs w:val="24"/>
        </w:rPr>
      </w:pPr>
      <w:r>
        <w:rPr>
          <w:sz w:val="24"/>
          <w:szCs w:val="24"/>
        </w:rPr>
        <w:t xml:space="preserve">If everything above comes true and </w:t>
      </w:r>
      <w:r w:rsidR="008D322B">
        <w:rPr>
          <w:sz w:val="24"/>
          <w:szCs w:val="24"/>
        </w:rPr>
        <w:t>the UK economy goes into a recession</w:t>
      </w:r>
      <w:r>
        <w:rPr>
          <w:sz w:val="24"/>
          <w:szCs w:val="24"/>
        </w:rPr>
        <w:t xml:space="preserve">, the price may be near the lower end of that range; if one or more of the conditions above is false and economic growth remains </w:t>
      </w:r>
      <w:r w:rsidR="008D322B">
        <w:rPr>
          <w:sz w:val="24"/>
          <w:szCs w:val="24"/>
        </w:rPr>
        <w:t xml:space="preserve">lower but </w:t>
      </w:r>
      <w:r>
        <w:rPr>
          <w:sz w:val="24"/>
          <w:szCs w:val="24"/>
        </w:rPr>
        <w:t>stable, a price near the upper end of that range is more plausible.</w:t>
      </w:r>
    </w:p>
    <w:p w:rsidR="00E96C69" w:rsidRDefault="00E96C69" w:rsidP="00B01AEC">
      <w:pPr>
        <w:rPr>
          <w:sz w:val="24"/>
          <w:szCs w:val="24"/>
        </w:rPr>
      </w:pPr>
      <w:r>
        <w:rPr>
          <w:sz w:val="24"/>
          <w:szCs w:val="24"/>
        </w:rPr>
        <w:t xml:space="preserve">If we’re wrong about everything and UK economic growth and mortgage market growth surpass expectations, the company’s share price might increase by 30%, which we could hedge against via the methods describe in </w:t>
      </w:r>
      <w:hyperlink w:anchor="InvestmentRisks" w:history="1">
        <w:r w:rsidRPr="00E96C69">
          <w:rPr>
            <w:rStyle w:val="Hyperlink"/>
            <w:sz w:val="24"/>
            <w:szCs w:val="24"/>
          </w:rPr>
          <w:t>the Risk Factors section</w:t>
        </w:r>
      </w:hyperlink>
      <w:r>
        <w:rPr>
          <w:sz w:val="24"/>
          <w:szCs w:val="24"/>
        </w:rPr>
        <w:t>.</w:t>
      </w:r>
    </w:p>
    <w:p w:rsidR="00EA1047" w:rsidRDefault="00CA70EF" w:rsidP="00B01AEC">
      <w:pPr>
        <w:rPr>
          <w:sz w:val="24"/>
          <w:szCs w:val="24"/>
        </w:rPr>
      </w:pPr>
      <w:hyperlink w:anchor="Top" w:history="1">
        <w:r w:rsidR="00EA1047" w:rsidRPr="00EA1047">
          <w:rPr>
            <w:rStyle w:val="Hyperlink"/>
            <w:sz w:val="24"/>
            <w:szCs w:val="24"/>
          </w:rPr>
          <w:t>Return to Top</w:t>
        </w:r>
      </w:hyperlink>
      <w:r w:rsidR="00EA1047">
        <w:rPr>
          <w:sz w:val="24"/>
          <w:szCs w:val="24"/>
        </w:rPr>
        <w:t>.</w:t>
      </w:r>
    </w:p>
    <w:p w:rsidR="00B01AEC" w:rsidRPr="008C4876" w:rsidRDefault="00B01AEC" w:rsidP="00B01AEC">
      <w:pPr>
        <w:pBdr>
          <w:bottom w:val="single" w:sz="6" w:space="1" w:color="auto"/>
        </w:pBdr>
        <w:rPr>
          <w:b/>
          <w:sz w:val="24"/>
          <w:szCs w:val="24"/>
        </w:rPr>
      </w:pPr>
      <w:bookmarkStart w:id="5" w:name="Valuation"/>
      <w:r w:rsidRPr="008C4876">
        <w:rPr>
          <w:b/>
          <w:sz w:val="24"/>
          <w:szCs w:val="24"/>
        </w:rPr>
        <w:t>Valuation</w:t>
      </w:r>
    </w:p>
    <w:bookmarkEnd w:id="5"/>
    <w:p w:rsidR="00B01AEC" w:rsidRDefault="00B01AEC" w:rsidP="00B01AEC">
      <w:pPr>
        <w:rPr>
          <w:sz w:val="24"/>
          <w:szCs w:val="24"/>
        </w:rPr>
      </w:pPr>
      <w:r w:rsidRPr="008C4876">
        <w:rPr>
          <w:sz w:val="24"/>
          <w:szCs w:val="24"/>
        </w:rPr>
        <w:t xml:space="preserve">We have valued </w:t>
      </w:r>
      <w:r w:rsidR="00E96C69">
        <w:rPr>
          <w:sz w:val="24"/>
          <w:szCs w:val="24"/>
        </w:rPr>
        <w:t xml:space="preserve">Shawbrook </w:t>
      </w:r>
      <w:r w:rsidRPr="008C4876">
        <w:rPr>
          <w:sz w:val="24"/>
          <w:szCs w:val="24"/>
        </w:rPr>
        <w:t xml:space="preserve">using public comps, precedent transactions, and the </w:t>
      </w:r>
      <w:r w:rsidR="00E96C69">
        <w:rPr>
          <w:sz w:val="24"/>
          <w:szCs w:val="24"/>
        </w:rPr>
        <w:t>Dividend Discount Model. We also ran a Residual Income (Excess Returns) Mo</w:t>
      </w:r>
      <w:r w:rsidR="008D322B">
        <w:rPr>
          <w:sz w:val="24"/>
          <w:szCs w:val="24"/>
        </w:rPr>
        <w:t xml:space="preserve">del as a supplement to the DDM </w:t>
      </w:r>
      <w:r w:rsidR="00E96C69">
        <w:rPr>
          <w:sz w:val="24"/>
          <w:szCs w:val="24"/>
        </w:rPr>
        <w:t>and looked at the implied P / TBV multiples from a regression analysis.</w:t>
      </w:r>
    </w:p>
    <w:p w:rsidR="00E96C69" w:rsidRDefault="008D322B" w:rsidP="00B01AEC">
      <w:pPr>
        <w:rPr>
          <w:sz w:val="24"/>
          <w:szCs w:val="24"/>
        </w:rPr>
      </w:pPr>
      <w:r w:rsidRPr="000A2984">
        <w:rPr>
          <w:noProof/>
          <w:lang w:eastAsia="zh-CN"/>
        </w:rPr>
        <w:drawing>
          <wp:anchor distT="0" distB="0" distL="114300" distR="114300" simplePos="0" relativeHeight="251661312" behindDoc="1" locked="0" layoutInCell="1" allowOverlap="1" wp14:anchorId="3F92AB01" wp14:editId="78B71BC1">
            <wp:simplePos x="0" y="0"/>
            <wp:positionH relativeFrom="margin">
              <wp:align>right</wp:align>
            </wp:positionH>
            <wp:positionV relativeFrom="paragraph">
              <wp:posOffset>430309</wp:posOffset>
            </wp:positionV>
            <wp:extent cx="6082748" cy="3401401"/>
            <wp:effectExtent l="0" t="0" r="0" b="8890"/>
            <wp:wrapTight wrapText="bothSides">
              <wp:wrapPolygon edited="0">
                <wp:start x="0" y="0"/>
                <wp:lineTo x="0" y="21535"/>
                <wp:lineTo x="21512" y="21535"/>
                <wp:lineTo x="215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082748" cy="3401401"/>
                    </a:xfrm>
                    <a:prstGeom prst="rect">
                      <a:avLst/>
                    </a:prstGeom>
                  </pic:spPr>
                </pic:pic>
              </a:graphicData>
            </a:graphic>
            <wp14:sizeRelH relativeFrom="page">
              <wp14:pctWidth>0</wp14:pctWidth>
            </wp14:sizeRelH>
            <wp14:sizeRelV relativeFrom="page">
              <wp14:pctHeight>0</wp14:pctHeight>
            </wp14:sizeRelV>
          </wp:anchor>
        </w:drawing>
      </w:r>
      <w:r w:rsidR="00E96C69">
        <w:rPr>
          <w:sz w:val="24"/>
          <w:szCs w:val="24"/>
        </w:rPr>
        <w:t xml:space="preserve">Here is the company’s implied </w:t>
      </w:r>
      <w:r>
        <w:rPr>
          <w:sz w:val="24"/>
          <w:szCs w:val="24"/>
        </w:rPr>
        <w:t xml:space="preserve">share price </w:t>
      </w:r>
      <w:r w:rsidR="00E96C69">
        <w:rPr>
          <w:sz w:val="24"/>
          <w:szCs w:val="24"/>
        </w:rPr>
        <w:t xml:space="preserve">using our “Base Case” estimates </w:t>
      </w:r>
      <w:r w:rsidR="000A2984">
        <w:rPr>
          <w:sz w:val="24"/>
          <w:szCs w:val="24"/>
        </w:rPr>
        <w:t>(</w:t>
      </w:r>
      <w:r w:rsidR="000A2984" w:rsidRPr="00510981">
        <w:rPr>
          <w:color w:val="C0504D" w:themeColor="accent2"/>
          <w:sz w:val="24"/>
          <w:szCs w:val="24"/>
        </w:rPr>
        <w:t xml:space="preserve">Shawbrook’s current share price </w:t>
      </w:r>
      <w:r w:rsidR="000A2984" w:rsidRPr="00510981">
        <w:rPr>
          <w:noProof/>
          <w:color w:val="C0504D" w:themeColor="accent2"/>
          <w:sz w:val="24"/>
          <w:szCs w:val="24"/>
        </w:rPr>
        <w:t xml:space="preserve">is </w:t>
      </w:r>
      <w:r w:rsidR="000A2984" w:rsidRPr="00510981">
        <w:rPr>
          <w:color w:val="C0504D" w:themeColor="accent2"/>
          <w:sz w:val="24"/>
          <w:szCs w:val="24"/>
        </w:rPr>
        <w:t>in red</w:t>
      </w:r>
      <w:r w:rsidR="000A2984">
        <w:rPr>
          <w:sz w:val="24"/>
          <w:szCs w:val="24"/>
        </w:rPr>
        <w:t>):</w:t>
      </w:r>
    </w:p>
    <w:p w:rsidR="000A2984" w:rsidRPr="000A2984" w:rsidRDefault="000A2984" w:rsidP="00B01AEC">
      <w:pPr>
        <w:rPr>
          <w:sz w:val="24"/>
          <w:szCs w:val="24"/>
        </w:rPr>
      </w:pPr>
      <w:r>
        <w:rPr>
          <w:b/>
          <w:sz w:val="24"/>
          <w:szCs w:val="24"/>
        </w:rPr>
        <w:lastRenderedPageBreak/>
        <w:t>NOTE:</w:t>
      </w:r>
      <w:r>
        <w:rPr>
          <w:sz w:val="24"/>
          <w:szCs w:val="24"/>
        </w:rPr>
        <w:t xml:space="preserve"> We have adjusted the comparable public companies</w:t>
      </w:r>
      <w:r w:rsidR="005834C5">
        <w:rPr>
          <w:sz w:val="24"/>
          <w:szCs w:val="24"/>
        </w:rPr>
        <w:t xml:space="preserve"> for excess or deficit capital </w:t>
      </w:r>
      <w:r>
        <w:rPr>
          <w:sz w:val="24"/>
          <w:szCs w:val="24"/>
        </w:rPr>
        <w:t>under the assumption that all companies in the set are targeting a 13% CET 1 Ratio, as Shawbrook is.</w:t>
      </w:r>
    </w:p>
    <w:p w:rsidR="00E96C69" w:rsidRDefault="000A2984" w:rsidP="00B01AEC">
      <w:pPr>
        <w:rPr>
          <w:sz w:val="24"/>
          <w:szCs w:val="24"/>
        </w:rPr>
      </w:pPr>
      <w:r>
        <w:rPr>
          <w:sz w:val="24"/>
          <w:szCs w:val="24"/>
        </w:rPr>
        <w:t xml:space="preserve">As shown above, the company’s current share price is well above the </w:t>
      </w:r>
      <w:r w:rsidR="005834C5">
        <w:rPr>
          <w:sz w:val="24"/>
          <w:szCs w:val="24"/>
        </w:rPr>
        <w:t>implied range</w:t>
      </w:r>
      <w:r>
        <w:rPr>
          <w:sz w:val="24"/>
          <w:szCs w:val="24"/>
        </w:rPr>
        <w:t xml:space="preserve"> from the DDM and Residual Income Models and the precedent transactions, and even above the share prices implied by the </w:t>
      </w:r>
      <w:r w:rsidR="005834C5">
        <w:rPr>
          <w:sz w:val="24"/>
          <w:szCs w:val="24"/>
        </w:rPr>
        <w:t xml:space="preserve">median </w:t>
      </w:r>
      <w:r>
        <w:rPr>
          <w:sz w:val="24"/>
          <w:szCs w:val="24"/>
        </w:rPr>
        <w:t>P / E multiples from the public comps.</w:t>
      </w:r>
    </w:p>
    <w:p w:rsidR="00E96C69" w:rsidRDefault="000A2984" w:rsidP="00B01AEC">
      <w:pPr>
        <w:rPr>
          <w:sz w:val="24"/>
          <w:szCs w:val="24"/>
        </w:rPr>
      </w:pPr>
      <w:r>
        <w:rPr>
          <w:sz w:val="24"/>
          <w:szCs w:val="24"/>
        </w:rPr>
        <w:t>On a P / TBV basis via both the public comps and the regression analysis, it appears to be valued appropriately, if not slightly undervalued.</w:t>
      </w:r>
    </w:p>
    <w:p w:rsidR="00B01AEC" w:rsidRDefault="00B01AEC" w:rsidP="00B01AEC">
      <w:pPr>
        <w:rPr>
          <w:sz w:val="24"/>
          <w:szCs w:val="24"/>
        </w:rPr>
      </w:pPr>
      <w:r>
        <w:rPr>
          <w:sz w:val="24"/>
          <w:szCs w:val="24"/>
        </w:rPr>
        <w:t xml:space="preserve">We will discuss each </w:t>
      </w:r>
      <w:r w:rsidR="005834C5">
        <w:rPr>
          <w:sz w:val="24"/>
          <w:szCs w:val="24"/>
        </w:rPr>
        <w:t xml:space="preserve">methodology in more detail below </w:t>
      </w:r>
      <w:r>
        <w:rPr>
          <w:sz w:val="24"/>
          <w:szCs w:val="24"/>
        </w:rPr>
        <w:t>and show several sensitivities based on the key value drivers and catalysts</w:t>
      </w:r>
      <w:r w:rsidR="005834C5">
        <w:rPr>
          <w:sz w:val="24"/>
          <w:szCs w:val="24"/>
        </w:rPr>
        <w:t>.</w:t>
      </w:r>
    </w:p>
    <w:p w:rsidR="00B01AEC" w:rsidRPr="00BC28A7" w:rsidRDefault="00B01AEC" w:rsidP="00B01AEC">
      <w:pPr>
        <w:rPr>
          <w:b/>
          <w:sz w:val="24"/>
          <w:szCs w:val="24"/>
        </w:rPr>
      </w:pPr>
      <w:bookmarkStart w:id="6" w:name="PublicComps"/>
      <w:r>
        <w:rPr>
          <w:b/>
          <w:sz w:val="24"/>
          <w:szCs w:val="24"/>
        </w:rPr>
        <w:t>Comparable Public Companies</w:t>
      </w:r>
    </w:p>
    <w:bookmarkEnd w:id="6"/>
    <w:p w:rsidR="00B01AEC" w:rsidRDefault="00B01AEC" w:rsidP="00B01AEC">
      <w:pPr>
        <w:rPr>
          <w:sz w:val="24"/>
          <w:szCs w:val="24"/>
        </w:rPr>
      </w:pPr>
      <w:r w:rsidRPr="008C4876">
        <w:rPr>
          <w:sz w:val="24"/>
          <w:szCs w:val="24"/>
        </w:rPr>
        <w:t xml:space="preserve">To select comparable public companies, we </w:t>
      </w:r>
      <w:r>
        <w:rPr>
          <w:sz w:val="24"/>
          <w:szCs w:val="24"/>
        </w:rPr>
        <w:t>used the following criteria:</w:t>
      </w:r>
    </w:p>
    <w:p w:rsidR="00B01AEC" w:rsidRDefault="00B01AEC" w:rsidP="00945C5F">
      <w:pPr>
        <w:pStyle w:val="ListParagraph"/>
        <w:numPr>
          <w:ilvl w:val="0"/>
          <w:numId w:val="4"/>
        </w:numPr>
        <w:rPr>
          <w:sz w:val="24"/>
          <w:szCs w:val="24"/>
        </w:rPr>
      </w:pPr>
      <w:r>
        <w:rPr>
          <w:b/>
          <w:sz w:val="24"/>
          <w:szCs w:val="24"/>
        </w:rPr>
        <w:t>Industry:</w:t>
      </w:r>
      <w:r>
        <w:rPr>
          <w:sz w:val="24"/>
          <w:szCs w:val="24"/>
        </w:rPr>
        <w:t xml:space="preserve"> </w:t>
      </w:r>
      <w:r w:rsidR="000A2984">
        <w:rPr>
          <w:sz w:val="24"/>
          <w:szCs w:val="24"/>
        </w:rPr>
        <w:t>“Challenger Banks”</w:t>
      </w:r>
      <w:r w:rsidR="00E4409C">
        <w:rPr>
          <w:sz w:val="24"/>
          <w:szCs w:val="24"/>
        </w:rPr>
        <w:t xml:space="preserve"> </w:t>
      </w:r>
      <w:r w:rsidR="00CA70EF">
        <w:rPr>
          <w:sz w:val="24"/>
          <w:szCs w:val="24"/>
        </w:rPr>
        <w:t>(i.e., Relatively young specialty lenders founded within the past ~20 years, and ideally the past 5-10 years)</w:t>
      </w:r>
    </w:p>
    <w:p w:rsidR="00B01AEC" w:rsidRDefault="00B01AEC" w:rsidP="00E32153">
      <w:pPr>
        <w:pStyle w:val="ListParagraph"/>
        <w:numPr>
          <w:ilvl w:val="0"/>
          <w:numId w:val="4"/>
        </w:numPr>
        <w:rPr>
          <w:sz w:val="24"/>
          <w:szCs w:val="24"/>
        </w:rPr>
      </w:pPr>
      <w:r>
        <w:rPr>
          <w:b/>
          <w:sz w:val="24"/>
          <w:szCs w:val="24"/>
        </w:rPr>
        <w:t>Financial:</w:t>
      </w:r>
      <w:r>
        <w:rPr>
          <w:sz w:val="24"/>
          <w:szCs w:val="24"/>
        </w:rPr>
        <w:t xml:space="preserve"> </w:t>
      </w:r>
      <w:r w:rsidR="00CA70EF">
        <w:rPr>
          <w:sz w:val="24"/>
          <w:szCs w:val="24"/>
        </w:rPr>
        <w:t>Total Assets b</w:t>
      </w:r>
      <w:r w:rsidR="00E32153">
        <w:rPr>
          <w:sz w:val="24"/>
          <w:szCs w:val="24"/>
        </w:rPr>
        <w:t>etween £1 billion and £50 b</w:t>
      </w:r>
      <w:r w:rsidR="00E32153" w:rsidRPr="00E32153">
        <w:rPr>
          <w:sz w:val="24"/>
          <w:szCs w:val="24"/>
        </w:rPr>
        <w:t>illion</w:t>
      </w:r>
    </w:p>
    <w:p w:rsidR="00B01AEC" w:rsidRDefault="00B01AEC" w:rsidP="00945C5F">
      <w:pPr>
        <w:pStyle w:val="ListParagraph"/>
        <w:numPr>
          <w:ilvl w:val="0"/>
          <w:numId w:val="4"/>
        </w:numPr>
        <w:rPr>
          <w:sz w:val="24"/>
          <w:szCs w:val="24"/>
        </w:rPr>
      </w:pPr>
      <w:r>
        <w:rPr>
          <w:b/>
          <w:sz w:val="24"/>
          <w:szCs w:val="24"/>
        </w:rPr>
        <w:t>Geography:</w:t>
      </w:r>
      <w:r>
        <w:rPr>
          <w:sz w:val="24"/>
          <w:szCs w:val="24"/>
        </w:rPr>
        <w:t xml:space="preserve"> </w:t>
      </w:r>
      <w:r w:rsidR="000A2984">
        <w:rPr>
          <w:sz w:val="24"/>
          <w:szCs w:val="24"/>
        </w:rPr>
        <w:t>UK-listed and UK-based companies</w:t>
      </w:r>
    </w:p>
    <w:p w:rsidR="00E32153" w:rsidRDefault="00E32153" w:rsidP="00B01AEC">
      <w:pPr>
        <w:rPr>
          <w:sz w:val="24"/>
          <w:szCs w:val="24"/>
        </w:rPr>
      </w:pPr>
      <w:r>
        <w:rPr>
          <w:sz w:val="24"/>
          <w:szCs w:val="24"/>
        </w:rPr>
        <w:t>This set of criteria yielded four comparable banks: Virgin Money (VM.), Aldermore Group (ALD), OneSavings Bank (OSB), and Secure Trust Bank (STB).</w:t>
      </w:r>
    </w:p>
    <w:p w:rsidR="00E32153" w:rsidRDefault="00E32153" w:rsidP="00B01AEC">
      <w:pPr>
        <w:rPr>
          <w:sz w:val="24"/>
          <w:szCs w:val="24"/>
        </w:rPr>
      </w:pPr>
      <w:r>
        <w:rPr>
          <w:sz w:val="24"/>
          <w:szCs w:val="24"/>
        </w:rPr>
        <w:t xml:space="preserve">We calculated the Excess or Deficit Capital for each comparable bank as of the valuation </w:t>
      </w:r>
      <w:r w:rsidRPr="00510981">
        <w:rPr>
          <w:noProof/>
          <w:sz w:val="24"/>
          <w:szCs w:val="24"/>
        </w:rPr>
        <w:t>date</w:t>
      </w:r>
      <w:r>
        <w:rPr>
          <w:sz w:val="24"/>
          <w:szCs w:val="24"/>
        </w:rPr>
        <w:t xml:space="preserve"> and adjusted their Tangible Book Value and Net Income to Common figures based on this figure and an assumed risk-free rate of return of 1.94% (the 10-year UK government bond rate).</w:t>
      </w:r>
    </w:p>
    <w:p w:rsidR="00E32153" w:rsidRDefault="00E32153" w:rsidP="00B01AEC">
      <w:pPr>
        <w:rPr>
          <w:sz w:val="24"/>
          <w:szCs w:val="24"/>
        </w:rPr>
      </w:pPr>
      <w:r>
        <w:rPr>
          <w:sz w:val="24"/>
          <w:szCs w:val="24"/>
        </w:rPr>
        <w:t>We also adjusted Net In</w:t>
      </w:r>
      <w:r w:rsidR="00CA70EF">
        <w:rPr>
          <w:sz w:val="24"/>
          <w:szCs w:val="24"/>
        </w:rPr>
        <w:t>come for non-recurring charges (</w:t>
      </w:r>
      <w:r>
        <w:rPr>
          <w:sz w:val="24"/>
          <w:szCs w:val="24"/>
        </w:rPr>
        <w:t>primarily IPO listing fees</w:t>
      </w:r>
      <w:r w:rsidR="00CA70EF">
        <w:rPr>
          <w:sz w:val="24"/>
          <w:szCs w:val="24"/>
        </w:rPr>
        <w:t>).</w:t>
      </w:r>
    </w:p>
    <w:p w:rsidR="00E32153" w:rsidRDefault="00E32153" w:rsidP="00B01AEC">
      <w:pPr>
        <w:rPr>
          <w:sz w:val="24"/>
          <w:szCs w:val="24"/>
        </w:rPr>
      </w:pPr>
    </w:p>
    <w:p w:rsidR="001E5B2E" w:rsidRDefault="001E5B2E" w:rsidP="001E5B2E">
      <w:pPr>
        <w:rPr>
          <w:sz w:val="24"/>
          <w:szCs w:val="24"/>
        </w:rPr>
      </w:pPr>
      <w:r w:rsidRPr="001E5B2E">
        <w:rPr>
          <w:noProof/>
          <w:lang w:eastAsia="zh-CN"/>
        </w:rPr>
        <w:lastRenderedPageBreak/>
        <w:drawing>
          <wp:inline distT="0" distB="0" distL="0" distR="0" wp14:anchorId="31E15BAE" wp14:editId="2589C3FB">
            <wp:extent cx="6575729" cy="700568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87349" cy="7018061"/>
                    </a:xfrm>
                    <a:prstGeom prst="rect">
                      <a:avLst/>
                    </a:prstGeom>
                  </pic:spPr>
                </pic:pic>
              </a:graphicData>
            </a:graphic>
          </wp:inline>
        </w:drawing>
      </w:r>
    </w:p>
    <w:p w:rsidR="00B01AEC" w:rsidRPr="00BC28A7" w:rsidRDefault="00B01AEC" w:rsidP="00B01AEC">
      <w:pPr>
        <w:rPr>
          <w:sz w:val="24"/>
          <w:szCs w:val="24"/>
        </w:rPr>
      </w:pPr>
      <w:r>
        <w:rPr>
          <w:b/>
          <w:sz w:val="24"/>
          <w:szCs w:val="24"/>
        </w:rPr>
        <w:t>Key Takeaways:</w:t>
      </w:r>
      <w:r>
        <w:rPr>
          <w:sz w:val="24"/>
          <w:szCs w:val="24"/>
        </w:rPr>
        <w:t xml:space="preserve"> </w:t>
      </w:r>
      <w:r w:rsidR="001E5B2E">
        <w:rPr>
          <w:sz w:val="24"/>
          <w:szCs w:val="24"/>
        </w:rPr>
        <w:t xml:space="preserve">The comparable companies are not terribly useful because they show that Shawbrook is reasonably valued based on P / TBV </w:t>
      </w:r>
      <w:r w:rsidR="001E5B2E" w:rsidRPr="00510981">
        <w:rPr>
          <w:noProof/>
          <w:sz w:val="24"/>
          <w:szCs w:val="24"/>
        </w:rPr>
        <w:t>multiples</w:t>
      </w:r>
      <w:r w:rsidR="001E5B2E">
        <w:rPr>
          <w:sz w:val="24"/>
          <w:szCs w:val="24"/>
        </w:rPr>
        <w:t xml:space="preserve"> since its </w:t>
      </w:r>
      <w:r w:rsidR="001E5B2E" w:rsidRPr="00510981">
        <w:rPr>
          <w:noProof/>
          <w:sz w:val="24"/>
          <w:szCs w:val="24"/>
        </w:rPr>
        <w:t>ROTCE</w:t>
      </w:r>
      <w:r w:rsidR="001E5B2E">
        <w:rPr>
          <w:sz w:val="24"/>
          <w:szCs w:val="24"/>
        </w:rPr>
        <w:t xml:space="preserve"> and P / TBV are </w:t>
      </w:r>
      <w:r w:rsidR="001E5B2E">
        <w:rPr>
          <w:sz w:val="24"/>
          <w:szCs w:val="24"/>
        </w:rPr>
        <w:lastRenderedPageBreak/>
        <w:t>both in the middle of</w:t>
      </w:r>
      <w:r w:rsidR="00CA70EF">
        <w:rPr>
          <w:sz w:val="24"/>
          <w:szCs w:val="24"/>
        </w:rPr>
        <w:t xml:space="preserve"> the range. On a P / E multiple </w:t>
      </w:r>
      <w:r w:rsidR="001E5B2E">
        <w:rPr>
          <w:sz w:val="24"/>
          <w:szCs w:val="24"/>
        </w:rPr>
        <w:t>basis, it may be overvalued since it has the second-lowest Adjusted Net Income Growth Rate, but the second-highest multiple.</w:t>
      </w:r>
    </w:p>
    <w:p w:rsidR="00B01AEC" w:rsidRDefault="00873A03" w:rsidP="00B01AEC">
      <w:pPr>
        <w:rPr>
          <w:sz w:val="24"/>
          <w:szCs w:val="24"/>
        </w:rPr>
      </w:pPr>
      <w:r>
        <w:rPr>
          <w:sz w:val="24"/>
          <w:szCs w:val="24"/>
        </w:rPr>
        <w:t>N</w:t>
      </w:r>
      <w:r w:rsidR="00B01AEC">
        <w:rPr>
          <w:sz w:val="24"/>
          <w:szCs w:val="24"/>
        </w:rPr>
        <w:t xml:space="preserve">ote that </w:t>
      </w:r>
      <w:r>
        <w:rPr>
          <w:sz w:val="24"/>
          <w:szCs w:val="24"/>
        </w:rPr>
        <w:t xml:space="preserve">the </w:t>
      </w:r>
      <w:r w:rsidR="00B01AEC">
        <w:rPr>
          <w:sz w:val="24"/>
          <w:szCs w:val="24"/>
        </w:rPr>
        <w:t xml:space="preserve">figures for comparables </w:t>
      </w:r>
      <w:r w:rsidR="00B01AEC" w:rsidRPr="00510981">
        <w:rPr>
          <w:noProof/>
          <w:sz w:val="24"/>
          <w:szCs w:val="24"/>
        </w:rPr>
        <w:t>are based</w:t>
      </w:r>
      <w:r w:rsidR="00B01AEC">
        <w:rPr>
          <w:sz w:val="24"/>
          <w:szCs w:val="24"/>
        </w:rPr>
        <w:t xml:space="preserve"> on </w:t>
      </w:r>
      <w:r w:rsidR="00B01AEC">
        <w:rPr>
          <w:b/>
          <w:sz w:val="24"/>
          <w:szCs w:val="24"/>
        </w:rPr>
        <w:t xml:space="preserve">research </w:t>
      </w:r>
      <w:r w:rsidR="00B01AEC" w:rsidRPr="00510981">
        <w:rPr>
          <w:b/>
          <w:noProof/>
          <w:sz w:val="24"/>
          <w:szCs w:val="24"/>
        </w:rPr>
        <w:t>estimates</w:t>
      </w:r>
      <w:r w:rsidR="00B01AEC">
        <w:rPr>
          <w:sz w:val="24"/>
          <w:szCs w:val="24"/>
        </w:rPr>
        <w:t xml:space="preserve"> and that our </w:t>
      </w:r>
      <w:r>
        <w:rPr>
          <w:sz w:val="24"/>
          <w:szCs w:val="24"/>
        </w:rPr>
        <w:t xml:space="preserve">view of </w:t>
      </w:r>
      <w:r w:rsidR="00B01AEC">
        <w:rPr>
          <w:sz w:val="24"/>
          <w:szCs w:val="24"/>
        </w:rPr>
        <w:t>th</w:t>
      </w:r>
      <w:r>
        <w:rPr>
          <w:sz w:val="24"/>
          <w:szCs w:val="24"/>
        </w:rPr>
        <w:t xml:space="preserve">e company’s future performance </w:t>
      </w:r>
      <w:r w:rsidR="00B01AEC">
        <w:rPr>
          <w:sz w:val="24"/>
          <w:szCs w:val="24"/>
        </w:rPr>
        <w:t>barely even make</w:t>
      </w:r>
      <w:r>
        <w:rPr>
          <w:sz w:val="24"/>
          <w:szCs w:val="24"/>
        </w:rPr>
        <w:t>s an</w:t>
      </w:r>
      <w:r w:rsidR="00B01AEC">
        <w:rPr>
          <w:sz w:val="24"/>
          <w:szCs w:val="24"/>
        </w:rPr>
        <w:t xml:space="preserve"> impact </w:t>
      </w:r>
      <w:r w:rsidR="001E5B2E">
        <w:rPr>
          <w:sz w:val="24"/>
          <w:szCs w:val="24"/>
        </w:rPr>
        <w:t>over the next two years</w:t>
      </w:r>
      <w:r w:rsidR="00B01AEC">
        <w:rPr>
          <w:sz w:val="24"/>
          <w:szCs w:val="24"/>
        </w:rPr>
        <w:t>.</w:t>
      </w:r>
    </w:p>
    <w:p w:rsidR="001E5B2E" w:rsidRPr="00BC28A7" w:rsidRDefault="001E5B2E" w:rsidP="00B01AEC">
      <w:pPr>
        <w:rPr>
          <w:sz w:val="24"/>
          <w:szCs w:val="24"/>
        </w:rPr>
      </w:pPr>
      <w:r w:rsidRPr="00510981">
        <w:rPr>
          <w:noProof/>
          <w:sz w:val="24"/>
          <w:szCs w:val="24"/>
        </w:rPr>
        <w:t>Also</w:t>
      </w:r>
      <w:r w:rsidR="00510981">
        <w:rPr>
          <w:noProof/>
          <w:sz w:val="24"/>
          <w:szCs w:val="24"/>
        </w:rPr>
        <w:t>,</w:t>
      </w:r>
      <w:r>
        <w:rPr>
          <w:sz w:val="24"/>
          <w:szCs w:val="24"/>
        </w:rPr>
        <w:t xml:space="preserve"> note that we have adjusted the comparable public companies for non-recurring charges </w:t>
      </w:r>
      <w:r w:rsidRPr="00510981">
        <w:rPr>
          <w:noProof/>
          <w:sz w:val="24"/>
          <w:szCs w:val="24"/>
        </w:rPr>
        <w:t xml:space="preserve">and </w:t>
      </w:r>
      <w:r>
        <w:rPr>
          <w:sz w:val="24"/>
          <w:szCs w:val="24"/>
        </w:rPr>
        <w:t xml:space="preserve">Excess or Deficit Capital based on </w:t>
      </w:r>
      <w:r w:rsidR="00CA70EF">
        <w:rPr>
          <w:sz w:val="24"/>
          <w:szCs w:val="24"/>
        </w:rPr>
        <w:t xml:space="preserve">a targeted </w:t>
      </w:r>
      <w:r>
        <w:rPr>
          <w:sz w:val="24"/>
          <w:szCs w:val="24"/>
        </w:rPr>
        <w:t>13% CET 1 Ratio.</w:t>
      </w:r>
    </w:p>
    <w:p w:rsidR="00B01AEC" w:rsidRDefault="00B01AEC" w:rsidP="00B01AEC">
      <w:pPr>
        <w:rPr>
          <w:sz w:val="24"/>
          <w:szCs w:val="24"/>
        </w:rPr>
      </w:pPr>
      <w:r>
        <w:rPr>
          <w:sz w:val="24"/>
          <w:szCs w:val="24"/>
        </w:rPr>
        <w:t xml:space="preserve">For reference, here’s the set of comparables with all </w:t>
      </w:r>
      <w:r w:rsidR="00873A03">
        <w:rPr>
          <w:sz w:val="24"/>
          <w:szCs w:val="24"/>
        </w:rPr>
        <w:t xml:space="preserve">the </w:t>
      </w:r>
      <w:r>
        <w:rPr>
          <w:sz w:val="24"/>
          <w:szCs w:val="24"/>
        </w:rPr>
        <w:t>metrics and multiples:</w:t>
      </w:r>
    </w:p>
    <w:p w:rsidR="00B01AEC" w:rsidRDefault="001E5B2E" w:rsidP="001E5B2E">
      <w:pPr>
        <w:ind w:left="-1440"/>
        <w:jc w:val="center"/>
        <w:rPr>
          <w:sz w:val="24"/>
          <w:szCs w:val="24"/>
        </w:rPr>
      </w:pPr>
      <w:r w:rsidRPr="001E5B2E">
        <w:rPr>
          <w:noProof/>
          <w:lang w:eastAsia="zh-CN"/>
        </w:rPr>
        <w:drawing>
          <wp:inline distT="0" distB="0" distL="0" distR="0" wp14:anchorId="06CC0143" wp14:editId="76217839">
            <wp:extent cx="7728668" cy="3147615"/>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769106" cy="3164084"/>
                    </a:xfrm>
                    <a:prstGeom prst="rect">
                      <a:avLst/>
                    </a:prstGeom>
                  </pic:spPr>
                </pic:pic>
              </a:graphicData>
            </a:graphic>
          </wp:inline>
        </w:drawing>
      </w:r>
    </w:p>
    <w:p w:rsidR="00EA1047" w:rsidRDefault="00CA70EF" w:rsidP="00B01AEC">
      <w:pPr>
        <w:rPr>
          <w:sz w:val="24"/>
          <w:szCs w:val="24"/>
        </w:rPr>
      </w:pPr>
      <w:hyperlink w:anchor="Top" w:history="1">
        <w:r w:rsidR="00EA1047" w:rsidRPr="00EA1047">
          <w:rPr>
            <w:rStyle w:val="Hyperlink"/>
            <w:sz w:val="24"/>
            <w:szCs w:val="24"/>
          </w:rPr>
          <w:t>Return to Top</w:t>
        </w:r>
      </w:hyperlink>
      <w:r w:rsidR="00EA1047">
        <w:rPr>
          <w:sz w:val="24"/>
          <w:szCs w:val="24"/>
        </w:rPr>
        <w:t>.</w:t>
      </w:r>
    </w:p>
    <w:p w:rsidR="00B01AEC" w:rsidRPr="00021A81" w:rsidRDefault="00B01AEC" w:rsidP="00B01AEC">
      <w:pPr>
        <w:rPr>
          <w:b/>
          <w:sz w:val="24"/>
          <w:szCs w:val="24"/>
        </w:rPr>
      </w:pPr>
      <w:bookmarkStart w:id="7" w:name="PrecedentTransactions"/>
      <w:r w:rsidRPr="00021A81">
        <w:rPr>
          <w:b/>
          <w:sz w:val="24"/>
          <w:szCs w:val="24"/>
        </w:rPr>
        <w:t>Precedent Transaction</w:t>
      </w:r>
      <w:r>
        <w:rPr>
          <w:b/>
          <w:sz w:val="24"/>
          <w:szCs w:val="24"/>
        </w:rPr>
        <w:t>s</w:t>
      </w:r>
    </w:p>
    <w:bookmarkEnd w:id="7"/>
    <w:p w:rsidR="00B01AEC" w:rsidRDefault="00B01AEC" w:rsidP="00B01AEC">
      <w:pPr>
        <w:rPr>
          <w:sz w:val="24"/>
          <w:szCs w:val="24"/>
        </w:rPr>
      </w:pPr>
      <w:r>
        <w:rPr>
          <w:sz w:val="24"/>
          <w:szCs w:val="24"/>
        </w:rPr>
        <w:t xml:space="preserve">We used the following screening criteria for the </w:t>
      </w:r>
      <w:r>
        <w:rPr>
          <w:sz w:val="24"/>
          <w:szCs w:val="24"/>
          <w:u w:val="single"/>
        </w:rPr>
        <w:t>seller</w:t>
      </w:r>
      <w:r>
        <w:rPr>
          <w:sz w:val="24"/>
          <w:szCs w:val="24"/>
        </w:rPr>
        <w:t xml:space="preserve"> in each M&amp;A deal:</w:t>
      </w:r>
    </w:p>
    <w:p w:rsidR="00B01AEC" w:rsidRDefault="00B01AEC" w:rsidP="00945C5F">
      <w:pPr>
        <w:pStyle w:val="ListParagraph"/>
        <w:numPr>
          <w:ilvl w:val="0"/>
          <w:numId w:val="5"/>
        </w:numPr>
        <w:rPr>
          <w:sz w:val="24"/>
          <w:szCs w:val="24"/>
        </w:rPr>
      </w:pPr>
      <w:r>
        <w:rPr>
          <w:b/>
          <w:sz w:val="24"/>
          <w:szCs w:val="24"/>
        </w:rPr>
        <w:t>Industry:</w:t>
      </w:r>
      <w:r>
        <w:rPr>
          <w:sz w:val="24"/>
          <w:szCs w:val="24"/>
        </w:rPr>
        <w:t xml:space="preserve"> </w:t>
      </w:r>
      <w:r w:rsidR="001E5B2E">
        <w:rPr>
          <w:sz w:val="24"/>
          <w:szCs w:val="24"/>
        </w:rPr>
        <w:t xml:space="preserve">Commercial </w:t>
      </w:r>
      <w:r w:rsidR="00CA70EF">
        <w:rPr>
          <w:sz w:val="24"/>
          <w:szCs w:val="24"/>
        </w:rPr>
        <w:t>Banking</w:t>
      </w:r>
    </w:p>
    <w:p w:rsidR="001E5B2E" w:rsidRDefault="001E5B2E" w:rsidP="001E5B2E">
      <w:pPr>
        <w:pStyle w:val="ListParagraph"/>
        <w:numPr>
          <w:ilvl w:val="0"/>
          <w:numId w:val="5"/>
        </w:numPr>
        <w:rPr>
          <w:sz w:val="24"/>
          <w:szCs w:val="24"/>
        </w:rPr>
      </w:pPr>
      <w:r>
        <w:rPr>
          <w:b/>
          <w:sz w:val="24"/>
          <w:szCs w:val="24"/>
        </w:rPr>
        <w:t>Financial:</w:t>
      </w:r>
      <w:r w:rsidR="00CA70EF">
        <w:rPr>
          <w:sz w:val="24"/>
          <w:szCs w:val="24"/>
        </w:rPr>
        <w:t xml:space="preserve"> Total Assets b</w:t>
      </w:r>
      <w:r>
        <w:rPr>
          <w:sz w:val="24"/>
          <w:szCs w:val="24"/>
        </w:rPr>
        <w:t>etween £1 billion and £50 b</w:t>
      </w:r>
      <w:r w:rsidRPr="00E32153">
        <w:rPr>
          <w:sz w:val="24"/>
          <w:szCs w:val="24"/>
        </w:rPr>
        <w:t>illion</w:t>
      </w:r>
    </w:p>
    <w:p w:rsidR="001E5B2E" w:rsidRDefault="001E5B2E" w:rsidP="001E5B2E">
      <w:pPr>
        <w:pStyle w:val="ListParagraph"/>
        <w:numPr>
          <w:ilvl w:val="0"/>
          <w:numId w:val="5"/>
        </w:numPr>
        <w:rPr>
          <w:sz w:val="24"/>
          <w:szCs w:val="24"/>
        </w:rPr>
      </w:pPr>
      <w:r>
        <w:rPr>
          <w:b/>
          <w:sz w:val="24"/>
          <w:szCs w:val="24"/>
        </w:rPr>
        <w:t>Geography:</w:t>
      </w:r>
      <w:r>
        <w:rPr>
          <w:sz w:val="24"/>
          <w:szCs w:val="24"/>
        </w:rPr>
        <w:t xml:space="preserve"> </w:t>
      </w:r>
      <w:r w:rsidR="00CA70EF">
        <w:rPr>
          <w:sz w:val="24"/>
          <w:szCs w:val="24"/>
        </w:rPr>
        <w:t>M</w:t>
      </w:r>
      <w:r>
        <w:rPr>
          <w:sz w:val="24"/>
          <w:szCs w:val="24"/>
        </w:rPr>
        <w:t>ust be UK-listed and UK-based companies</w:t>
      </w:r>
    </w:p>
    <w:p w:rsidR="00B01AEC" w:rsidRDefault="00B01AEC" w:rsidP="00945C5F">
      <w:pPr>
        <w:pStyle w:val="ListParagraph"/>
        <w:numPr>
          <w:ilvl w:val="0"/>
          <w:numId w:val="5"/>
        </w:numPr>
        <w:rPr>
          <w:sz w:val="24"/>
          <w:szCs w:val="24"/>
        </w:rPr>
      </w:pPr>
      <w:r>
        <w:rPr>
          <w:b/>
          <w:sz w:val="24"/>
          <w:szCs w:val="24"/>
        </w:rPr>
        <w:t>Time Horizon:</w:t>
      </w:r>
      <w:r>
        <w:rPr>
          <w:sz w:val="24"/>
          <w:szCs w:val="24"/>
        </w:rPr>
        <w:t xml:space="preserve"> </w:t>
      </w:r>
      <w:r w:rsidR="001E5B2E">
        <w:rPr>
          <w:sz w:val="24"/>
          <w:szCs w:val="24"/>
        </w:rPr>
        <w:t>September 18</w:t>
      </w:r>
      <w:r w:rsidR="001E5B2E" w:rsidRPr="001E5B2E">
        <w:rPr>
          <w:sz w:val="24"/>
          <w:szCs w:val="24"/>
          <w:vertAlign w:val="superscript"/>
        </w:rPr>
        <w:t>th</w:t>
      </w:r>
      <w:r w:rsidR="001E5B2E">
        <w:rPr>
          <w:sz w:val="24"/>
          <w:szCs w:val="24"/>
        </w:rPr>
        <w:t>, 2011 to September 18</w:t>
      </w:r>
      <w:r w:rsidR="001E5B2E" w:rsidRPr="001E5B2E">
        <w:rPr>
          <w:sz w:val="24"/>
          <w:szCs w:val="24"/>
          <w:vertAlign w:val="superscript"/>
        </w:rPr>
        <w:t>th</w:t>
      </w:r>
      <w:r w:rsidR="001E5B2E">
        <w:rPr>
          <w:sz w:val="24"/>
          <w:szCs w:val="24"/>
        </w:rPr>
        <w:t>, 2015</w:t>
      </w:r>
    </w:p>
    <w:p w:rsidR="00B01AEC" w:rsidRDefault="00B01AEC" w:rsidP="00945C5F">
      <w:pPr>
        <w:pStyle w:val="ListParagraph"/>
        <w:numPr>
          <w:ilvl w:val="0"/>
          <w:numId w:val="5"/>
        </w:numPr>
        <w:rPr>
          <w:sz w:val="24"/>
          <w:szCs w:val="24"/>
        </w:rPr>
      </w:pPr>
      <w:r>
        <w:rPr>
          <w:b/>
          <w:sz w:val="24"/>
          <w:szCs w:val="24"/>
        </w:rPr>
        <w:lastRenderedPageBreak/>
        <w:t>Other:</w:t>
      </w:r>
      <w:r>
        <w:rPr>
          <w:sz w:val="24"/>
          <w:szCs w:val="24"/>
        </w:rPr>
        <w:t xml:space="preserve"> We considered sales of </w:t>
      </w:r>
      <w:r w:rsidR="00A801CF">
        <w:rPr>
          <w:sz w:val="24"/>
          <w:szCs w:val="24"/>
        </w:rPr>
        <w:t xml:space="preserve">entire companies </w:t>
      </w:r>
      <w:r w:rsidR="00CA70EF">
        <w:rPr>
          <w:sz w:val="24"/>
          <w:szCs w:val="24"/>
        </w:rPr>
        <w:t xml:space="preserve">as well as </w:t>
      </w:r>
      <w:r>
        <w:rPr>
          <w:sz w:val="24"/>
          <w:szCs w:val="24"/>
        </w:rPr>
        <w:t>majority stake</w:t>
      </w:r>
      <w:r w:rsidR="00A801CF">
        <w:rPr>
          <w:sz w:val="24"/>
          <w:szCs w:val="24"/>
        </w:rPr>
        <w:t>s</w:t>
      </w:r>
      <w:r w:rsidR="00CA70EF">
        <w:rPr>
          <w:sz w:val="24"/>
          <w:szCs w:val="24"/>
        </w:rPr>
        <w:t>, but ignored minority stake deals</w:t>
      </w:r>
      <w:r>
        <w:rPr>
          <w:sz w:val="24"/>
          <w:szCs w:val="24"/>
        </w:rPr>
        <w:t xml:space="preserve">; </w:t>
      </w:r>
      <w:r w:rsidR="005674A4">
        <w:rPr>
          <w:sz w:val="24"/>
          <w:szCs w:val="24"/>
        </w:rPr>
        <w:t xml:space="preserve">we added </w:t>
      </w:r>
      <w:r w:rsidR="001E5B2E">
        <w:rPr>
          <w:sz w:val="24"/>
          <w:szCs w:val="24"/>
        </w:rPr>
        <w:t>50% of earn-outs to the equity purchase price</w:t>
      </w:r>
      <w:r w:rsidR="005674A4">
        <w:rPr>
          <w:sz w:val="24"/>
          <w:szCs w:val="24"/>
        </w:rPr>
        <w:t>s</w:t>
      </w:r>
    </w:p>
    <w:p w:rsidR="001E5B2E" w:rsidRDefault="001E5B2E" w:rsidP="00B01AEC">
      <w:pPr>
        <w:rPr>
          <w:b/>
          <w:sz w:val="24"/>
          <w:szCs w:val="24"/>
        </w:rPr>
      </w:pPr>
      <w:r w:rsidRPr="001E5B2E">
        <w:rPr>
          <w:noProof/>
          <w:lang w:eastAsia="zh-CN"/>
        </w:rPr>
        <w:drawing>
          <wp:anchor distT="0" distB="0" distL="114300" distR="114300" simplePos="0" relativeHeight="251659264" behindDoc="1" locked="0" layoutInCell="1" allowOverlap="1" wp14:anchorId="5DB26730" wp14:editId="202D8C02">
            <wp:simplePos x="0" y="0"/>
            <wp:positionH relativeFrom="column">
              <wp:posOffset>-846455</wp:posOffset>
            </wp:positionH>
            <wp:positionV relativeFrom="paragraph">
              <wp:posOffset>247015</wp:posOffset>
            </wp:positionV>
            <wp:extent cx="7621905" cy="1843405"/>
            <wp:effectExtent l="0" t="0" r="0" b="4445"/>
            <wp:wrapTight wrapText="bothSides">
              <wp:wrapPolygon edited="0">
                <wp:start x="0" y="0"/>
                <wp:lineTo x="0" y="21429"/>
                <wp:lineTo x="21541" y="21429"/>
                <wp:lineTo x="21541"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621905" cy="184340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These</w:t>
      </w:r>
      <w:r w:rsidR="00B01AEC">
        <w:rPr>
          <w:sz w:val="24"/>
          <w:szCs w:val="24"/>
        </w:rPr>
        <w:t xml:space="preserve"> criteria produced the following set</w:t>
      </w:r>
      <w:r w:rsidR="00C00AC1">
        <w:rPr>
          <w:sz w:val="24"/>
          <w:szCs w:val="24"/>
        </w:rPr>
        <w:t xml:space="preserve"> of precedent transactions</w:t>
      </w:r>
      <w:r w:rsidR="00B01AEC">
        <w:rPr>
          <w:sz w:val="24"/>
          <w:szCs w:val="24"/>
        </w:rPr>
        <w:t>:</w:t>
      </w:r>
    </w:p>
    <w:p w:rsidR="00B01AEC" w:rsidRDefault="00B01AEC" w:rsidP="00C10F6C">
      <w:pPr>
        <w:rPr>
          <w:sz w:val="24"/>
          <w:szCs w:val="24"/>
        </w:rPr>
      </w:pPr>
      <w:r>
        <w:rPr>
          <w:b/>
          <w:sz w:val="24"/>
          <w:szCs w:val="24"/>
        </w:rPr>
        <w:t>Key Takeaways:</w:t>
      </w:r>
      <w:r>
        <w:rPr>
          <w:sz w:val="24"/>
          <w:szCs w:val="24"/>
        </w:rPr>
        <w:t xml:space="preserve"> </w:t>
      </w:r>
      <w:r w:rsidR="00C10F6C">
        <w:rPr>
          <w:sz w:val="24"/>
          <w:szCs w:val="24"/>
        </w:rPr>
        <w:t xml:space="preserve">The M&amp;A transactions here are the </w:t>
      </w:r>
      <w:r w:rsidR="00C10F6C">
        <w:rPr>
          <w:sz w:val="24"/>
          <w:szCs w:val="24"/>
          <w:u w:val="single"/>
        </w:rPr>
        <w:t>least</w:t>
      </w:r>
      <w:r w:rsidR="00C10F6C">
        <w:rPr>
          <w:sz w:val="24"/>
          <w:szCs w:val="24"/>
        </w:rPr>
        <w:t xml:space="preserve"> meaningful methodology because there are so few of </w:t>
      </w:r>
      <w:r w:rsidR="00C10F6C" w:rsidRPr="00510981">
        <w:rPr>
          <w:noProof/>
          <w:sz w:val="24"/>
          <w:szCs w:val="24"/>
        </w:rPr>
        <w:t>them</w:t>
      </w:r>
      <w:r w:rsidR="00510981">
        <w:rPr>
          <w:noProof/>
          <w:sz w:val="24"/>
          <w:szCs w:val="24"/>
        </w:rPr>
        <w:t>,</w:t>
      </w:r>
      <w:r w:rsidR="00C10F6C">
        <w:rPr>
          <w:sz w:val="24"/>
          <w:szCs w:val="24"/>
        </w:rPr>
        <w:t xml:space="preserve"> and only one (Banco de Sabadell / TSB) is comparable to Shawbrook in any way.</w:t>
      </w:r>
    </w:p>
    <w:p w:rsidR="00C10F6C" w:rsidRPr="00C10F6C" w:rsidRDefault="00C10F6C" w:rsidP="00C10F6C">
      <w:pPr>
        <w:rPr>
          <w:sz w:val="24"/>
          <w:szCs w:val="24"/>
        </w:rPr>
      </w:pPr>
      <w:r>
        <w:rPr>
          <w:sz w:val="24"/>
          <w:szCs w:val="24"/>
        </w:rPr>
        <w:t xml:space="preserve">We examined these transactions in the interest of completeness, but they are </w:t>
      </w:r>
      <w:r w:rsidR="005674A4">
        <w:rPr>
          <w:sz w:val="24"/>
          <w:szCs w:val="24"/>
        </w:rPr>
        <w:t xml:space="preserve">not </w:t>
      </w:r>
      <w:r>
        <w:rPr>
          <w:sz w:val="24"/>
          <w:szCs w:val="24"/>
        </w:rPr>
        <w:t xml:space="preserve">particularly useful or accurate </w:t>
      </w:r>
      <w:r w:rsidR="005674A4">
        <w:rPr>
          <w:sz w:val="24"/>
          <w:szCs w:val="24"/>
        </w:rPr>
        <w:t xml:space="preserve">next to </w:t>
      </w:r>
      <w:r>
        <w:rPr>
          <w:sz w:val="24"/>
          <w:szCs w:val="24"/>
        </w:rPr>
        <w:t>the other methodologies.</w:t>
      </w:r>
    </w:p>
    <w:p w:rsidR="00EA1047" w:rsidRPr="00FA349B" w:rsidRDefault="00CA70EF" w:rsidP="00B01AEC">
      <w:pPr>
        <w:rPr>
          <w:sz w:val="24"/>
          <w:szCs w:val="24"/>
        </w:rPr>
      </w:pPr>
      <w:hyperlink w:anchor="Top" w:history="1">
        <w:r w:rsidR="00EA1047" w:rsidRPr="00EA1047">
          <w:rPr>
            <w:rStyle w:val="Hyperlink"/>
            <w:sz w:val="24"/>
            <w:szCs w:val="24"/>
          </w:rPr>
          <w:t>Return to Top</w:t>
        </w:r>
      </w:hyperlink>
      <w:r w:rsidR="00EA1047">
        <w:rPr>
          <w:sz w:val="24"/>
          <w:szCs w:val="24"/>
        </w:rPr>
        <w:t>.</w:t>
      </w:r>
    </w:p>
    <w:p w:rsidR="00B01AEC" w:rsidRPr="00FA349B" w:rsidRDefault="00C10F6C" w:rsidP="00B01AEC">
      <w:pPr>
        <w:rPr>
          <w:b/>
          <w:sz w:val="24"/>
          <w:szCs w:val="24"/>
        </w:rPr>
      </w:pPr>
      <w:bookmarkStart w:id="8" w:name="DDM"/>
      <w:r>
        <w:rPr>
          <w:b/>
          <w:sz w:val="24"/>
          <w:szCs w:val="24"/>
        </w:rPr>
        <w:t>Dividend Discount Model</w:t>
      </w:r>
    </w:p>
    <w:bookmarkEnd w:id="8"/>
    <w:p w:rsidR="00B01AEC" w:rsidRDefault="00B01AEC" w:rsidP="00B01AEC">
      <w:pPr>
        <w:rPr>
          <w:sz w:val="24"/>
          <w:szCs w:val="24"/>
        </w:rPr>
      </w:pPr>
      <w:r>
        <w:rPr>
          <w:sz w:val="24"/>
          <w:szCs w:val="24"/>
        </w:rPr>
        <w:t xml:space="preserve">We used the </w:t>
      </w:r>
      <w:r w:rsidR="00C10F6C">
        <w:rPr>
          <w:sz w:val="24"/>
          <w:szCs w:val="24"/>
        </w:rPr>
        <w:t>Dividend Discount Model over a 15</w:t>
      </w:r>
      <w:r>
        <w:rPr>
          <w:sz w:val="24"/>
          <w:szCs w:val="24"/>
        </w:rPr>
        <w:t>-year period as our primary valuation methodology, with the following assumptions:</w:t>
      </w:r>
    </w:p>
    <w:p w:rsidR="00B01AEC" w:rsidRPr="00D9590A" w:rsidRDefault="00C10F6C" w:rsidP="00945C5F">
      <w:pPr>
        <w:pStyle w:val="ListParagraph"/>
        <w:numPr>
          <w:ilvl w:val="0"/>
          <w:numId w:val="6"/>
        </w:numPr>
        <w:rPr>
          <w:b/>
          <w:sz w:val="24"/>
          <w:szCs w:val="24"/>
        </w:rPr>
      </w:pPr>
      <w:r>
        <w:rPr>
          <w:b/>
          <w:sz w:val="24"/>
          <w:szCs w:val="24"/>
        </w:rPr>
        <w:t>Phases:</w:t>
      </w:r>
      <w:r>
        <w:rPr>
          <w:sz w:val="24"/>
          <w:szCs w:val="24"/>
        </w:rPr>
        <w:t xml:space="preserve"> The analysis </w:t>
      </w:r>
      <w:r w:rsidRPr="00510981">
        <w:rPr>
          <w:noProof/>
          <w:sz w:val="24"/>
          <w:szCs w:val="24"/>
        </w:rPr>
        <w:t>is split</w:t>
      </w:r>
      <w:r>
        <w:rPr>
          <w:sz w:val="24"/>
          <w:szCs w:val="24"/>
        </w:rPr>
        <w:t xml:space="preserve"> into three phases, with Phase 1 corresponding to the five years in our 3-statement projection model </w:t>
      </w:r>
      <w:r w:rsidR="002D6F6C">
        <w:rPr>
          <w:sz w:val="24"/>
          <w:szCs w:val="24"/>
        </w:rPr>
        <w:t>(initial dividend issuances), Phase 2 corresponding to slowing dividend growth in the five years after that, and Phase 3 corresponding to a stabilized dividend payout ratio in the five years after that.</w:t>
      </w:r>
    </w:p>
    <w:p w:rsidR="00D9590A" w:rsidRPr="00D9590A" w:rsidRDefault="00D9590A" w:rsidP="00D9590A">
      <w:pPr>
        <w:pStyle w:val="ListParagraph"/>
        <w:rPr>
          <w:b/>
          <w:sz w:val="24"/>
          <w:szCs w:val="24"/>
        </w:rPr>
      </w:pPr>
    </w:p>
    <w:p w:rsidR="00D9590A" w:rsidRPr="00D9590A" w:rsidRDefault="00D9590A" w:rsidP="00945C5F">
      <w:pPr>
        <w:pStyle w:val="ListParagraph"/>
        <w:numPr>
          <w:ilvl w:val="0"/>
          <w:numId w:val="6"/>
        </w:numPr>
        <w:rPr>
          <w:b/>
          <w:sz w:val="24"/>
          <w:szCs w:val="24"/>
        </w:rPr>
      </w:pPr>
      <w:r w:rsidRPr="00510981">
        <w:rPr>
          <w:b/>
          <w:noProof/>
          <w:sz w:val="24"/>
          <w:szCs w:val="24"/>
        </w:rPr>
        <w:t>Cost</w:t>
      </w:r>
      <w:r>
        <w:rPr>
          <w:b/>
          <w:sz w:val="24"/>
          <w:szCs w:val="24"/>
        </w:rPr>
        <w:t xml:space="preserve"> of Equity:</w:t>
      </w:r>
      <w:r>
        <w:rPr>
          <w:sz w:val="24"/>
          <w:szCs w:val="24"/>
        </w:rPr>
        <w:t xml:space="preserve"> This is initially 12%, but it declines to 11% over Years 6 – 15 of the analysis to reflect the reduced risk and reduced potential returns as Shawbrook grows. </w:t>
      </w:r>
    </w:p>
    <w:p w:rsidR="00D9590A" w:rsidRPr="00D9590A" w:rsidRDefault="00D9590A" w:rsidP="00D9590A">
      <w:pPr>
        <w:pStyle w:val="ListParagraph"/>
        <w:rPr>
          <w:b/>
          <w:sz w:val="24"/>
          <w:szCs w:val="24"/>
        </w:rPr>
      </w:pPr>
    </w:p>
    <w:p w:rsidR="00D9590A" w:rsidRPr="00D9590A" w:rsidRDefault="00D9590A" w:rsidP="00945C5F">
      <w:pPr>
        <w:pStyle w:val="ListParagraph"/>
        <w:numPr>
          <w:ilvl w:val="0"/>
          <w:numId w:val="6"/>
        </w:numPr>
        <w:rPr>
          <w:b/>
          <w:sz w:val="24"/>
          <w:szCs w:val="24"/>
        </w:rPr>
      </w:pPr>
      <w:r>
        <w:rPr>
          <w:b/>
          <w:sz w:val="24"/>
          <w:szCs w:val="24"/>
        </w:rPr>
        <w:lastRenderedPageBreak/>
        <w:t>Targeted Dividend Payout Ratio:</w:t>
      </w:r>
      <w:r>
        <w:rPr>
          <w:sz w:val="24"/>
          <w:szCs w:val="24"/>
        </w:rPr>
        <w:t xml:space="preserve"> This increases from 10% in FY16 to 40% in FY19, and then grows to 50% by FY24 and remains there. Note that the company’s actual payout rat</w:t>
      </w:r>
      <w:r w:rsidR="002B18C3">
        <w:rPr>
          <w:sz w:val="24"/>
          <w:szCs w:val="24"/>
        </w:rPr>
        <w:t xml:space="preserve">io stays well below this figure, at approximately 38%, </w:t>
      </w:r>
      <w:r>
        <w:rPr>
          <w:sz w:val="24"/>
          <w:szCs w:val="24"/>
        </w:rPr>
        <w:t>in the Base Case.</w:t>
      </w:r>
    </w:p>
    <w:p w:rsidR="00D9590A" w:rsidRPr="00D9590A" w:rsidRDefault="00D9590A" w:rsidP="00945C5F">
      <w:pPr>
        <w:pStyle w:val="ListParagraph"/>
        <w:numPr>
          <w:ilvl w:val="0"/>
          <w:numId w:val="6"/>
        </w:numPr>
        <w:rPr>
          <w:b/>
          <w:sz w:val="24"/>
          <w:szCs w:val="24"/>
        </w:rPr>
      </w:pPr>
      <w:r>
        <w:rPr>
          <w:b/>
          <w:sz w:val="24"/>
          <w:szCs w:val="24"/>
        </w:rPr>
        <w:t>Targeted CET 1 Ratio:</w:t>
      </w:r>
      <w:r>
        <w:rPr>
          <w:sz w:val="24"/>
          <w:szCs w:val="24"/>
        </w:rPr>
        <w:t xml:space="preserve"> 13%, in-line with the company’s current goals. We handle Excess or Deficit Capital via additional or reduced dividend issuances.</w:t>
      </w:r>
    </w:p>
    <w:p w:rsidR="00D9590A" w:rsidRPr="00D9590A" w:rsidRDefault="00D9590A" w:rsidP="00D9590A">
      <w:pPr>
        <w:pStyle w:val="ListParagraph"/>
        <w:rPr>
          <w:b/>
          <w:sz w:val="24"/>
          <w:szCs w:val="24"/>
        </w:rPr>
      </w:pPr>
    </w:p>
    <w:p w:rsidR="00D9590A" w:rsidRPr="00B229E6" w:rsidRDefault="00B229E6" w:rsidP="00945C5F">
      <w:pPr>
        <w:pStyle w:val="ListParagraph"/>
        <w:numPr>
          <w:ilvl w:val="0"/>
          <w:numId w:val="6"/>
        </w:numPr>
        <w:rPr>
          <w:b/>
          <w:sz w:val="24"/>
          <w:szCs w:val="24"/>
        </w:rPr>
      </w:pPr>
      <w:r>
        <w:rPr>
          <w:b/>
          <w:sz w:val="24"/>
          <w:szCs w:val="24"/>
        </w:rPr>
        <w:t>ROTCE and Long-Term / Final ROTCE:</w:t>
      </w:r>
      <w:r>
        <w:rPr>
          <w:sz w:val="24"/>
          <w:szCs w:val="24"/>
        </w:rPr>
        <w:t xml:space="preserve"> In the final ten years, this varies across the cases:</w:t>
      </w:r>
    </w:p>
    <w:p w:rsidR="00B229E6" w:rsidRPr="00B229E6" w:rsidRDefault="00B229E6" w:rsidP="00B229E6">
      <w:pPr>
        <w:pStyle w:val="ListParagraph"/>
        <w:numPr>
          <w:ilvl w:val="1"/>
          <w:numId w:val="6"/>
        </w:numPr>
        <w:rPr>
          <w:b/>
          <w:sz w:val="24"/>
          <w:szCs w:val="24"/>
        </w:rPr>
      </w:pPr>
      <w:r>
        <w:rPr>
          <w:b/>
          <w:sz w:val="24"/>
          <w:szCs w:val="24"/>
        </w:rPr>
        <w:t>Base Case:</w:t>
      </w:r>
      <w:r w:rsidR="002B18C3">
        <w:rPr>
          <w:sz w:val="24"/>
          <w:szCs w:val="24"/>
        </w:rPr>
        <w:t xml:space="preserve"> Initially 16%; declines </w:t>
      </w:r>
      <w:r>
        <w:rPr>
          <w:sz w:val="24"/>
          <w:szCs w:val="24"/>
        </w:rPr>
        <w:t>to 12% by the final three years.</w:t>
      </w:r>
    </w:p>
    <w:p w:rsidR="00B229E6" w:rsidRPr="00B229E6" w:rsidRDefault="00B229E6" w:rsidP="00B229E6">
      <w:pPr>
        <w:pStyle w:val="ListParagraph"/>
        <w:numPr>
          <w:ilvl w:val="1"/>
          <w:numId w:val="6"/>
        </w:numPr>
        <w:rPr>
          <w:b/>
          <w:sz w:val="24"/>
          <w:szCs w:val="24"/>
        </w:rPr>
      </w:pPr>
      <w:r>
        <w:rPr>
          <w:b/>
          <w:sz w:val="24"/>
          <w:szCs w:val="24"/>
        </w:rPr>
        <w:t>Upside Case:</w:t>
      </w:r>
      <w:r w:rsidR="002B18C3">
        <w:rPr>
          <w:sz w:val="24"/>
          <w:szCs w:val="24"/>
        </w:rPr>
        <w:t xml:space="preserve"> Initially 18%</w:t>
      </w:r>
      <w:r w:rsidR="002B18C3">
        <w:rPr>
          <w:sz w:val="24"/>
          <w:szCs w:val="24"/>
        </w:rPr>
        <w:t xml:space="preserve">; declines </w:t>
      </w:r>
      <w:r>
        <w:rPr>
          <w:sz w:val="24"/>
          <w:szCs w:val="24"/>
        </w:rPr>
        <w:t>to 14% by the final three years.</w:t>
      </w:r>
    </w:p>
    <w:p w:rsidR="00B229E6" w:rsidRPr="00B229E6" w:rsidRDefault="00B229E6" w:rsidP="00B229E6">
      <w:pPr>
        <w:pStyle w:val="ListParagraph"/>
        <w:numPr>
          <w:ilvl w:val="1"/>
          <w:numId w:val="6"/>
        </w:numPr>
        <w:rPr>
          <w:b/>
          <w:sz w:val="24"/>
          <w:szCs w:val="24"/>
        </w:rPr>
      </w:pPr>
      <w:r>
        <w:rPr>
          <w:b/>
          <w:sz w:val="24"/>
          <w:szCs w:val="24"/>
        </w:rPr>
        <w:t>Downside Case:</w:t>
      </w:r>
      <w:r>
        <w:rPr>
          <w:sz w:val="24"/>
          <w:szCs w:val="24"/>
        </w:rPr>
        <w:t xml:space="preserve"> Initially 14%</w:t>
      </w:r>
      <w:r w:rsidR="002B18C3">
        <w:rPr>
          <w:sz w:val="24"/>
          <w:szCs w:val="24"/>
        </w:rPr>
        <w:t xml:space="preserve">; declines </w:t>
      </w:r>
      <w:r>
        <w:rPr>
          <w:sz w:val="24"/>
          <w:szCs w:val="24"/>
        </w:rPr>
        <w:t xml:space="preserve">to 11% by the final </w:t>
      </w:r>
      <w:r w:rsidR="00B068CF">
        <w:rPr>
          <w:sz w:val="24"/>
          <w:szCs w:val="24"/>
        </w:rPr>
        <w:t xml:space="preserve">three </w:t>
      </w:r>
      <w:r>
        <w:rPr>
          <w:sz w:val="24"/>
          <w:szCs w:val="24"/>
        </w:rPr>
        <w:t>years.</w:t>
      </w:r>
    </w:p>
    <w:p w:rsidR="00B229E6" w:rsidRPr="00B229E6" w:rsidRDefault="00B229E6" w:rsidP="00B229E6">
      <w:pPr>
        <w:pStyle w:val="ListParagraph"/>
        <w:ind w:left="1440"/>
        <w:rPr>
          <w:b/>
          <w:sz w:val="24"/>
          <w:szCs w:val="24"/>
        </w:rPr>
      </w:pPr>
    </w:p>
    <w:p w:rsidR="00B229E6" w:rsidRPr="00B229E6" w:rsidRDefault="00B229E6" w:rsidP="00B229E6">
      <w:pPr>
        <w:pStyle w:val="ListParagraph"/>
        <w:numPr>
          <w:ilvl w:val="0"/>
          <w:numId w:val="6"/>
        </w:numPr>
        <w:rPr>
          <w:b/>
          <w:sz w:val="24"/>
          <w:szCs w:val="24"/>
        </w:rPr>
      </w:pPr>
      <w:r>
        <w:rPr>
          <w:b/>
          <w:sz w:val="24"/>
          <w:szCs w:val="24"/>
        </w:rPr>
        <w:t>Asset Growth and Long-Term / Final Asset Growth:</w:t>
      </w:r>
      <w:r>
        <w:rPr>
          <w:sz w:val="24"/>
          <w:szCs w:val="24"/>
        </w:rPr>
        <w:t xml:space="preserve"> This also varies in the same period:</w:t>
      </w:r>
    </w:p>
    <w:p w:rsidR="00B229E6" w:rsidRPr="00B229E6" w:rsidRDefault="00B229E6" w:rsidP="00B229E6">
      <w:pPr>
        <w:pStyle w:val="ListParagraph"/>
        <w:numPr>
          <w:ilvl w:val="1"/>
          <w:numId w:val="6"/>
        </w:numPr>
        <w:rPr>
          <w:b/>
          <w:sz w:val="24"/>
          <w:szCs w:val="24"/>
        </w:rPr>
      </w:pPr>
      <w:r>
        <w:rPr>
          <w:b/>
          <w:sz w:val="24"/>
          <w:szCs w:val="24"/>
        </w:rPr>
        <w:t>Base Case:</w:t>
      </w:r>
      <w:r>
        <w:rPr>
          <w:sz w:val="24"/>
          <w:szCs w:val="24"/>
        </w:rPr>
        <w:t xml:space="preserve"> Initially 11%</w:t>
      </w:r>
      <w:r w:rsidR="002B18C3">
        <w:rPr>
          <w:sz w:val="24"/>
          <w:szCs w:val="24"/>
        </w:rPr>
        <w:t>; declines</w:t>
      </w:r>
      <w:r>
        <w:rPr>
          <w:sz w:val="24"/>
          <w:szCs w:val="24"/>
        </w:rPr>
        <w:t xml:space="preserve"> to 7% by the final three years.</w:t>
      </w:r>
    </w:p>
    <w:p w:rsidR="00B229E6" w:rsidRPr="00B229E6" w:rsidRDefault="00B229E6" w:rsidP="00B229E6">
      <w:pPr>
        <w:pStyle w:val="ListParagraph"/>
        <w:numPr>
          <w:ilvl w:val="1"/>
          <w:numId w:val="6"/>
        </w:numPr>
        <w:rPr>
          <w:b/>
          <w:sz w:val="24"/>
          <w:szCs w:val="24"/>
        </w:rPr>
      </w:pPr>
      <w:r>
        <w:rPr>
          <w:b/>
          <w:sz w:val="24"/>
          <w:szCs w:val="24"/>
        </w:rPr>
        <w:t>Upside Case:</w:t>
      </w:r>
      <w:r>
        <w:rPr>
          <w:sz w:val="24"/>
          <w:szCs w:val="24"/>
        </w:rPr>
        <w:t xml:space="preserve"> Initially 14%</w:t>
      </w:r>
      <w:r w:rsidR="002B18C3">
        <w:rPr>
          <w:sz w:val="24"/>
          <w:szCs w:val="24"/>
        </w:rPr>
        <w:t>; declines</w:t>
      </w:r>
      <w:r>
        <w:rPr>
          <w:sz w:val="24"/>
          <w:szCs w:val="24"/>
        </w:rPr>
        <w:t xml:space="preserve"> to 8% by the final three years.</w:t>
      </w:r>
    </w:p>
    <w:p w:rsidR="00B229E6" w:rsidRPr="0020644B" w:rsidRDefault="00B229E6" w:rsidP="00B229E6">
      <w:pPr>
        <w:pStyle w:val="ListParagraph"/>
        <w:numPr>
          <w:ilvl w:val="1"/>
          <w:numId w:val="6"/>
        </w:numPr>
        <w:rPr>
          <w:b/>
          <w:sz w:val="24"/>
          <w:szCs w:val="24"/>
        </w:rPr>
      </w:pPr>
      <w:r>
        <w:rPr>
          <w:b/>
          <w:sz w:val="24"/>
          <w:szCs w:val="24"/>
        </w:rPr>
        <w:t>Downside Case:</w:t>
      </w:r>
      <w:r>
        <w:rPr>
          <w:sz w:val="24"/>
          <w:szCs w:val="24"/>
        </w:rPr>
        <w:t xml:space="preserve"> Initially 12.5%</w:t>
      </w:r>
      <w:r w:rsidR="002B18C3">
        <w:rPr>
          <w:sz w:val="24"/>
          <w:szCs w:val="24"/>
        </w:rPr>
        <w:t>; declines</w:t>
      </w:r>
      <w:r>
        <w:rPr>
          <w:sz w:val="24"/>
          <w:szCs w:val="24"/>
        </w:rPr>
        <w:t xml:space="preserve"> to 6% by the final three years.</w:t>
      </w:r>
    </w:p>
    <w:p w:rsidR="00B229E6" w:rsidRDefault="00B229E6" w:rsidP="00B229E6">
      <w:pPr>
        <w:pStyle w:val="ListParagraph"/>
        <w:rPr>
          <w:sz w:val="24"/>
          <w:szCs w:val="24"/>
        </w:rPr>
      </w:pPr>
    </w:p>
    <w:p w:rsidR="00B229E6" w:rsidRPr="00B229E6" w:rsidRDefault="00B229E6" w:rsidP="00B01AEC">
      <w:pPr>
        <w:pStyle w:val="ListParagraph"/>
        <w:numPr>
          <w:ilvl w:val="0"/>
          <w:numId w:val="6"/>
        </w:numPr>
        <w:rPr>
          <w:b/>
          <w:sz w:val="24"/>
          <w:szCs w:val="24"/>
        </w:rPr>
      </w:pPr>
      <w:r>
        <w:rPr>
          <w:b/>
          <w:sz w:val="24"/>
          <w:szCs w:val="24"/>
        </w:rPr>
        <w:t>Other Assumptions:</w:t>
      </w:r>
      <w:r>
        <w:rPr>
          <w:sz w:val="24"/>
          <w:szCs w:val="24"/>
        </w:rPr>
        <w:t xml:space="preserve"> RWA as a % of Total Assets is ~70% at the end of our 5-year projections and rises to 80% over the next five years; Goodwill &amp; Other Intangibles as a % of Total Assets declines from 1.10% to 1.00% and stays there.</w:t>
      </w:r>
    </w:p>
    <w:p w:rsidR="00B01AEC" w:rsidRPr="00323DB8" w:rsidRDefault="00B229E6" w:rsidP="00B01AEC">
      <w:pPr>
        <w:ind w:left="-1440"/>
        <w:rPr>
          <w:sz w:val="24"/>
          <w:szCs w:val="24"/>
        </w:rPr>
      </w:pPr>
      <w:r w:rsidRPr="00B229E6">
        <w:rPr>
          <w:noProof/>
          <w:lang w:eastAsia="zh-CN"/>
        </w:rPr>
        <w:drawing>
          <wp:inline distT="0" distB="0" distL="0" distR="0" wp14:anchorId="18279093" wp14:editId="7AD62504">
            <wp:extent cx="7688275" cy="3291337"/>
            <wp:effectExtent l="0" t="0" r="8255"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701375" cy="3296945"/>
                    </a:xfrm>
                    <a:prstGeom prst="rect">
                      <a:avLst/>
                    </a:prstGeom>
                  </pic:spPr>
                </pic:pic>
              </a:graphicData>
            </a:graphic>
          </wp:inline>
        </w:drawing>
      </w:r>
    </w:p>
    <w:p w:rsidR="009465A4" w:rsidRDefault="00B229E6" w:rsidP="00B01AEC">
      <w:pPr>
        <w:rPr>
          <w:sz w:val="24"/>
          <w:szCs w:val="24"/>
        </w:rPr>
      </w:pPr>
      <w:r w:rsidRPr="00B229E6">
        <w:rPr>
          <w:noProof/>
          <w:lang w:eastAsia="zh-CN"/>
        </w:rPr>
        <w:lastRenderedPageBreak/>
        <w:drawing>
          <wp:anchor distT="0" distB="0" distL="114300" distR="114300" simplePos="0" relativeHeight="251660288" behindDoc="1" locked="0" layoutInCell="1" allowOverlap="1" wp14:anchorId="72494FD8" wp14:editId="0188F67A">
            <wp:simplePos x="0" y="0"/>
            <wp:positionH relativeFrom="margin">
              <wp:align>center</wp:align>
            </wp:positionH>
            <wp:positionV relativeFrom="paragraph">
              <wp:posOffset>497104</wp:posOffset>
            </wp:positionV>
            <wp:extent cx="5943600" cy="2471420"/>
            <wp:effectExtent l="0" t="0" r="0" b="5080"/>
            <wp:wrapTight wrapText="bothSides">
              <wp:wrapPolygon edited="0">
                <wp:start x="0" y="0"/>
                <wp:lineTo x="0" y="21478"/>
                <wp:lineTo x="21531" y="21478"/>
                <wp:lineTo x="21531"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2471420"/>
                    </a:xfrm>
                    <a:prstGeom prst="rect">
                      <a:avLst/>
                    </a:prstGeom>
                  </pic:spPr>
                </pic:pic>
              </a:graphicData>
            </a:graphic>
            <wp14:sizeRelH relativeFrom="page">
              <wp14:pctWidth>0</wp14:pctWidth>
            </wp14:sizeRelH>
            <wp14:sizeRelV relativeFrom="page">
              <wp14:pctHeight>0</wp14:pctHeight>
            </wp14:sizeRelV>
          </wp:anchor>
        </w:drawing>
      </w:r>
      <w:r w:rsidR="009465A4">
        <w:rPr>
          <w:sz w:val="24"/>
          <w:szCs w:val="24"/>
        </w:rPr>
        <w:t xml:space="preserve">For reference, here is the baseline output of the </w:t>
      </w:r>
      <w:r>
        <w:rPr>
          <w:sz w:val="24"/>
          <w:szCs w:val="24"/>
        </w:rPr>
        <w:t>DDM</w:t>
      </w:r>
      <w:r w:rsidR="009465A4">
        <w:rPr>
          <w:sz w:val="24"/>
          <w:szCs w:val="24"/>
        </w:rPr>
        <w:t xml:space="preserve"> analysis under both the Multiples Method and the Perpetuity Growth Method for the Terminal Value calculation:</w:t>
      </w:r>
    </w:p>
    <w:p w:rsidR="00B229E6" w:rsidRDefault="00B229E6" w:rsidP="00B01AEC">
      <w:pPr>
        <w:rPr>
          <w:sz w:val="24"/>
          <w:szCs w:val="24"/>
        </w:rPr>
      </w:pPr>
    </w:p>
    <w:p w:rsidR="00B229E6" w:rsidRDefault="00B229E6" w:rsidP="00B01AEC">
      <w:pPr>
        <w:rPr>
          <w:sz w:val="24"/>
          <w:szCs w:val="24"/>
        </w:rPr>
      </w:pPr>
      <w:r>
        <w:rPr>
          <w:sz w:val="24"/>
          <w:szCs w:val="24"/>
        </w:rPr>
        <w:t>We have also assumed that future stock issuances contribute approximately 38 million in additional shares, based on the company’s current stock price, the GBP value of future stock issuances, and their present value.</w:t>
      </w:r>
    </w:p>
    <w:p w:rsidR="00B01AEC" w:rsidRDefault="00B229E6" w:rsidP="00B01AEC">
      <w:pPr>
        <w:rPr>
          <w:sz w:val="24"/>
          <w:szCs w:val="24"/>
        </w:rPr>
      </w:pPr>
      <w:r>
        <w:rPr>
          <w:sz w:val="24"/>
          <w:szCs w:val="24"/>
        </w:rPr>
        <w:t>The Asset Growth assumption makes a marginal difference in this analysis, especially when it is limited to the last three years of the model and the Terminal Period, but the sensitivities based on Cost of Equity and Terminal Value are significant:</w:t>
      </w:r>
    </w:p>
    <w:p w:rsidR="00B01AEC" w:rsidRPr="00323DB8" w:rsidRDefault="00B01AEC" w:rsidP="00B01AEC">
      <w:pPr>
        <w:rPr>
          <w:b/>
          <w:sz w:val="24"/>
          <w:szCs w:val="24"/>
        </w:rPr>
      </w:pPr>
      <w:r w:rsidRPr="00323DB8">
        <w:rPr>
          <w:b/>
          <w:sz w:val="24"/>
          <w:szCs w:val="24"/>
        </w:rPr>
        <w:t xml:space="preserve">Sensitivity – </w:t>
      </w:r>
      <w:r w:rsidR="00B229E6">
        <w:rPr>
          <w:b/>
          <w:sz w:val="24"/>
          <w:szCs w:val="24"/>
        </w:rPr>
        <w:t>Initial Cost of Equity vs. Terminal P / TBV Multiple</w:t>
      </w:r>
      <w:r w:rsidRPr="00323DB8">
        <w:rPr>
          <w:b/>
          <w:sz w:val="24"/>
          <w:szCs w:val="24"/>
        </w:rPr>
        <w:t>:</w:t>
      </w:r>
    </w:p>
    <w:p w:rsidR="00B01AEC" w:rsidRDefault="00B229E6" w:rsidP="00B01AEC">
      <w:pPr>
        <w:ind w:left="-1440"/>
        <w:rPr>
          <w:sz w:val="24"/>
          <w:szCs w:val="24"/>
        </w:rPr>
      </w:pPr>
      <w:r w:rsidRPr="00B229E6">
        <w:rPr>
          <w:noProof/>
          <w:lang w:eastAsia="zh-CN"/>
        </w:rPr>
        <w:drawing>
          <wp:inline distT="0" distB="0" distL="0" distR="0" wp14:anchorId="1ECC93E9" wp14:editId="5D6697C4">
            <wp:extent cx="7724851" cy="1351024"/>
            <wp:effectExtent l="0" t="0" r="0"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803944" cy="1364857"/>
                    </a:xfrm>
                    <a:prstGeom prst="rect">
                      <a:avLst/>
                    </a:prstGeom>
                  </pic:spPr>
                </pic:pic>
              </a:graphicData>
            </a:graphic>
          </wp:inline>
        </w:drawing>
      </w:r>
    </w:p>
    <w:p w:rsidR="00B01AEC" w:rsidRPr="00257E86" w:rsidRDefault="00B01AEC" w:rsidP="00B01AEC">
      <w:pPr>
        <w:rPr>
          <w:sz w:val="24"/>
          <w:szCs w:val="24"/>
        </w:rPr>
      </w:pPr>
      <w:r>
        <w:rPr>
          <w:b/>
          <w:sz w:val="24"/>
          <w:szCs w:val="24"/>
        </w:rPr>
        <w:t>Key Takeaways:</w:t>
      </w:r>
      <w:r>
        <w:rPr>
          <w:sz w:val="24"/>
          <w:szCs w:val="24"/>
        </w:rPr>
        <w:t xml:space="preserve"> </w:t>
      </w:r>
      <w:r w:rsidR="00257E86">
        <w:rPr>
          <w:sz w:val="24"/>
          <w:szCs w:val="24"/>
        </w:rPr>
        <w:t xml:space="preserve">It seems virtually impossible that the company could </w:t>
      </w:r>
      <w:r w:rsidR="00257E86" w:rsidRPr="00510981">
        <w:rPr>
          <w:noProof/>
          <w:sz w:val="24"/>
          <w:szCs w:val="24"/>
        </w:rPr>
        <w:t xml:space="preserve">be </w:t>
      </w:r>
      <w:r w:rsidR="00257E86" w:rsidRPr="00510981">
        <w:rPr>
          <w:i/>
          <w:noProof/>
          <w:sz w:val="24"/>
          <w:szCs w:val="24"/>
        </w:rPr>
        <w:t>undervalued</w:t>
      </w:r>
      <w:r w:rsidR="00257E86">
        <w:rPr>
          <w:sz w:val="24"/>
          <w:szCs w:val="24"/>
        </w:rPr>
        <w:t xml:space="preserve"> because the maximum implied share price shown in this table is </w:t>
      </w:r>
      <w:r w:rsidR="00257E86" w:rsidRPr="00257E86">
        <w:rPr>
          <w:sz w:val="24"/>
          <w:szCs w:val="24"/>
        </w:rPr>
        <w:t>£</w:t>
      </w:r>
      <w:r w:rsidR="00257E86">
        <w:rPr>
          <w:sz w:val="24"/>
          <w:szCs w:val="24"/>
        </w:rPr>
        <w:t xml:space="preserve">3.21, which is below its current share price of </w:t>
      </w:r>
      <w:r w:rsidR="00257E86" w:rsidRPr="00257E86">
        <w:rPr>
          <w:sz w:val="24"/>
          <w:szCs w:val="24"/>
        </w:rPr>
        <w:t>£</w:t>
      </w:r>
      <w:r w:rsidR="00257E86">
        <w:rPr>
          <w:sz w:val="24"/>
          <w:szCs w:val="24"/>
        </w:rPr>
        <w:t>3.27. Instead, the company seems overvalued by 16% – 37%</w:t>
      </w:r>
      <w:r w:rsidR="002749EF">
        <w:rPr>
          <w:sz w:val="24"/>
          <w:szCs w:val="24"/>
        </w:rPr>
        <w:t xml:space="preserve"> in the blue range above</w:t>
      </w:r>
      <w:r w:rsidR="00257E86">
        <w:rPr>
          <w:sz w:val="24"/>
          <w:szCs w:val="24"/>
        </w:rPr>
        <w:t>.</w:t>
      </w:r>
    </w:p>
    <w:p w:rsidR="00B229E6" w:rsidRDefault="00257E86" w:rsidP="00B01AEC">
      <w:pPr>
        <w:rPr>
          <w:sz w:val="24"/>
          <w:szCs w:val="24"/>
        </w:rPr>
      </w:pPr>
      <w:r>
        <w:rPr>
          <w:b/>
          <w:sz w:val="24"/>
          <w:szCs w:val="24"/>
        </w:rPr>
        <w:lastRenderedPageBreak/>
        <w:t>Sensitivity – Initial Cost of Equity vs. Terminal Return on Tangible Common Equity:</w:t>
      </w:r>
    </w:p>
    <w:p w:rsidR="00257E86" w:rsidRPr="00257E86" w:rsidRDefault="00257E86" w:rsidP="00257E86">
      <w:pPr>
        <w:ind w:left="-1440"/>
        <w:rPr>
          <w:sz w:val="24"/>
          <w:szCs w:val="24"/>
        </w:rPr>
      </w:pPr>
      <w:r w:rsidRPr="00257E86">
        <w:rPr>
          <w:noProof/>
          <w:lang w:eastAsia="zh-CN"/>
        </w:rPr>
        <w:drawing>
          <wp:inline distT="0" distB="0" distL="0" distR="0" wp14:anchorId="2B21D971" wp14:editId="4E1669A9">
            <wp:extent cx="7746635" cy="1360627"/>
            <wp:effectExtent l="0" t="0" r="698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870418" cy="1382368"/>
                    </a:xfrm>
                    <a:prstGeom prst="rect">
                      <a:avLst/>
                    </a:prstGeom>
                  </pic:spPr>
                </pic:pic>
              </a:graphicData>
            </a:graphic>
          </wp:inline>
        </w:drawing>
      </w:r>
    </w:p>
    <w:p w:rsidR="00257E86" w:rsidRDefault="00257E86" w:rsidP="00B01AEC">
      <w:pPr>
        <w:rPr>
          <w:sz w:val="24"/>
          <w:szCs w:val="24"/>
        </w:rPr>
      </w:pPr>
      <w:r>
        <w:rPr>
          <w:b/>
          <w:sz w:val="24"/>
          <w:szCs w:val="24"/>
        </w:rPr>
        <w:t>Key Takeaways:</w:t>
      </w:r>
      <w:r>
        <w:rPr>
          <w:sz w:val="24"/>
          <w:szCs w:val="24"/>
        </w:rPr>
        <w:t xml:space="preserve"> The company’s valuation is a bit higher in some cases and lower in others, but it still seems </w:t>
      </w:r>
      <w:r w:rsidRPr="002749EF">
        <w:rPr>
          <w:i/>
          <w:sz w:val="24"/>
          <w:szCs w:val="24"/>
        </w:rPr>
        <w:t>very</w:t>
      </w:r>
      <w:r>
        <w:rPr>
          <w:sz w:val="24"/>
          <w:szCs w:val="24"/>
        </w:rPr>
        <w:t xml:space="preserve"> unlikely to be undervalued – for this to happen, Shawbrook’s long-term ROTCE would have to exceed the </w:t>
      </w:r>
      <w:r w:rsidR="002749EF">
        <w:rPr>
          <w:sz w:val="24"/>
          <w:szCs w:val="24"/>
        </w:rPr>
        <w:t xml:space="preserve">current ROTCE </w:t>
      </w:r>
      <w:r>
        <w:rPr>
          <w:sz w:val="24"/>
          <w:szCs w:val="24"/>
        </w:rPr>
        <w:t>figures for Virgin Money and Paragon, the more mature specialty lenders.</w:t>
      </w:r>
    </w:p>
    <w:p w:rsidR="002749EF" w:rsidRPr="00257E86" w:rsidRDefault="002749EF" w:rsidP="00B01AEC">
      <w:pPr>
        <w:rPr>
          <w:sz w:val="24"/>
          <w:szCs w:val="24"/>
        </w:rPr>
      </w:pPr>
      <w:hyperlink w:anchor="Top" w:history="1">
        <w:r w:rsidRPr="00EA1047">
          <w:rPr>
            <w:rStyle w:val="Hyperlink"/>
            <w:sz w:val="24"/>
            <w:szCs w:val="24"/>
          </w:rPr>
          <w:t>Return to Top</w:t>
        </w:r>
      </w:hyperlink>
      <w:r>
        <w:rPr>
          <w:sz w:val="24"/>
          <w:szCs w:val="24"/>
        </w:rPr>
        <w:t>.</w:t>
      </w:r>
    </w:p>
    <w:p w:rsidR="00257E86" w:rsidRPr="00FA349B" w:rsidRDefault="00257E86" w:rsidP="00257E86">
      <w:pPr>
        <w:rPr>
          <w:b/>
          <w:sz w:val="24"/>
          <w:szCs w:val="24"/>
        </w:rPr>
      </w:pPr>
      <w:bookmarkStart w:id="9" w:name="ResInc"/>
      <w:r>
        <w:rPr>
          <w:b/>
          <w:sz w:val="24"/>
          <w:szCs w:val="24"/>
        </w:rPr>
        <w:t>Residual Income (Excess Returns) Model</w:t>
      </w:r>
      <w:bookmarkEnd w:id="9"/>
    </w:p>
    <w:p w:rsidR="00257E86" w:rsidRDefault="00257E86" w:rsidP="00B01AEC">
      <w:pPr>
        <w:rPr>
          <w:sz w:val="24"/>
          <w:szCs w:val="24"/>
        </w:rPr>
      </w:pPr>
      <w:r>
        <w:rPr>
          <w:sz w:val="24"/>
          <w:szCs w:val="24"/>
        </w:rPr>
        <w:t>As an alternative to the Dividend Discount Model, we also built a Residual Income Model (AKA Excess Returns Model) where a bank’s intrinsic value is equal to:</w:t>
      </w:r>
    </w:p>
    <w:p w:rsidR="00257E86" w:rsidRDefault="00257E86" w:rsidP="00257E86">
      <w:pPr>
        <w:pStyle w:val="ListParagraph"/>
        <w:numPr>
          <w:ilvl w:val="0"/>
          <w:numId w:val="16"/>
        </w:numPr>
        <w:rPr>
          <w:sz w:val="24"/>
          <w:szCs w:val="24"/>
        </w:rPr>
      </w:pPr>
      <w:r>
        <w:rPr>
          <w:sz w:val="24"/>
          <w:szCs w:val="24"/>
        </w:rPr>
        <w:t>Current Common Book Value + Sum of PV of Residual Income + PV of Residual Income Terminal Value</w:t>
      </w:r>
    </w:p>
    <w:p w:rsidR="00257E86" w:rsidRDefault="00257E86" w:rsidP="00257E86">
      <w:pPr>
        <w:rPr>
          <w:sz w:val="24"/>
          <w:szCs w:val="24"/>
        </w:rPr>
      </w:pPr>
      <w:r>
        <w:rPr>
          <w:sz w:val="24"/>
          <w:szCs w:val="24"/>
        </w:rPr>
        <w:t>“Residual Income” is defined as ROE * Average Equity – Cost of Equity * Average Equity, or in this case, ROCE * Average Common Equity – Cost of Equity * Average Common Equity.</w:t>
      </w:r>
    </w:p>
    <w:p w:rsidR="00B53151" w:rsidRDefault="00257E86" w:rsidP="00257E86">
      <w:pPr>
        <w:rPr>
          <w:sz w:val="24"/>
          <w:szCs w:val="24"/>
        </w:rPr>
      </w:pPr>
      <w:r>
        <w:rPr>
          <w:sz w:val="24"/>
          <w:szCs w:val="24"/>
        </w:rPr>
        <w:t xml:space="preserve">This model can work better for banks that are not currently issuing dividends </w:t>
      </w:r>
      <w:r w:rsidR="002749EF">
        <w:rPr>
          <w:sz w:val="24"/>
          <w:szCs w:val="24"/>
        </w:rPr>
        <w:t xml:space="preserve">or that have </w:t>
      </w:r>
      <w:r>
        <w:rPr>
          <w:sz w:val="24"/>
          <w:szCs w:val="24"/>
        </w:rPr>
        <w:t xml:space="preserve">irregular payout ratios, since </w:t>
      </w:r>
      <w:r w:rsidR="00B53151">
        <w:rPr>
          <w:sz w:val="24"/>
          <w:szCs w:val="24"/>
        </w:rPr>
        <w:t>much of the bank’s value comes from its current Balance Sheet, with the rest determined by ROE vs. Cost of Equity. Far less of the bank’s implied value comes from its Terminal Value</w:t>
      </w:r>
      <w:r w:rsidR="002749EF">
        <w:rPr>
          <w:sz w:val="24"/>
          <w:szCs w:val="24"/>
        </w:rPr>
        <w:t>.</w:t>
      </w:r>
    </w:p>
    <w:p w:rsidR="00B53151" w:rsidRDefault="00B53151" w:rsidP="00257E86">
      <w:pPr>
        <w:rPr>
          <w:sz w:val="24"/>
          <w:szCs w:val="24"/>
        </w:rPr>
      </w:pPr>
      <w:r>
        <w:rPr>
          <w:sz w:val="24"/>
          <w:szCs w:val="24"/>
        </w:rPr>
        <w:t>To implement this model for Shawbrook, we used similar assumptions and almost the same setup as in the Dividend Discount Model, but we used slightly higher figures for the long-term ROCE since Return on Common Equity is numerically higher than Return on Tangible Common Equity.</w:t>
      </w:r>
    </w:p>
    <w:p w:rsidR="00257E86" w:rsidRDefault="00B53151" w:rsidP="00257E86">
      <w:pPr>
        <w:rPr>
          <w:sz w:val="24"/>
          <w:szCs w:val="24"/>
        </w:rPr>
      </w:pPr>
      <w:r>
        <w:rPr>
          <w:sz w:val="24"/>
          <w:szCs w:val="24"/>
        </w:rPr>
        <w:t xml:space="preserve">We handled Excess or Deficit Capital differently because valuation </w:t>
      </w:r>
      <w:r w:rsidRPr="00510981">
        <w:rPr>
          <w:noProof/>
          <w:sz w:val="24"/>
          <w:szCs w:val="24"/>
        </w:rPr>
        <w:t>is not based</w:t>
      </w:r>
      <w:r>
        <w:rPr>
          <w:sz w:val="24"/>
          <w:szCs w:val="24"/>
        </w:rPr>
        <w:t xml:space="preserve"> on dividends in this model; instead, we adjusted ROCE * Average Common Equity and Cost of Equity * Average </w:t>
      </w:r>
      <w:r>
        <w:rPr>
          <w:sz w:val="24"/>
          <w:szCs w:val="24"/>
        </w:rPr>
        <w:lastRenderedPageBreak/>
        <w:t>Common Equity according to the bank’s capital levels and the assumed 1.94% rate of return</w:t>
      </w:r>
      <w:r w:rsidR="002749EF">
        <w:rPr>
          <w:sz w:val="24"/>
          <w:szCs w:val="24"/>
        </w:rPr>
        <w:t xml:space="preserve"> on excess capital</w:t>
      </w:r>
      <w:r>
        <w:rPr>
          <w:sz w:val="24"/>
          <w:szCs w:val="24"/>
        </w:rPr>
        <w:t>.</w:t>
      </w:r>
    </w:p>
    <w:p w:rsidR="00257E86" w:rsidRDefault="00B53151" w:rsidP="00257E86">
      <w:pPr>
        <w:rPr>
          <w:sz w:val="24"/>
          <w:szCs w:val="24"/>
        </w:rPr>
      </w:pPr>
      <w:r>
        <w:rPr>
          <w:sz w:val="24"/>
          <w:szCs w:val="24"/>
        </w:rPr>
        <w:t xml:space="preserve">Despite these model differences, the results were </w:t>
      </w:r>
      <w:r w:rsidR="002749EF">
        <w:rPr>
          <w:sz w:val="24"/>
          <w:szCs w:val="24"/>
        </w:rPr>
        <w:t xml:space="preserve">quite similar </w:t>
      </w:r>
      <w:r w:rsidRPr="00510981">
        <w:rPr>
          <w:noProof/>
          <w:sz w:val="24"/>
          <w:szCs w:val="24"/>
        </w:rPr>
        <w:t>in</w:t>
      </w:r>
      <w:r>
        <w:rPr>
          <w:sz w:val="24"/>
          <w:szCs w:val="24"/>
        </w:rPr>
        <w:t xml:space="preserve"> the Base Case:</w:t>
      </w:r>
    </w:p>
    <w:p w:rsidR="00B53151" w:rsidRPr="00B53151" w:rsidRDefault="00B53151" w:rsidP="00257E86">
      <w:pPr>
        <w:rPr>
          <w:sz w:val="24"/>
          <w:szCs w:val="24"/>
        </w:rPr>
      </w:pPr>
      <w:r>
        <w:rPr>
          <w:b/>
          <w:sz w:val="24"/>
          <w:szCs w:val="24"/>
        </w:rPr>
        <w:t>Sensitivity – Cost of Equity vs. Terminal Return on Common Equity:</w:t>
      </w:r>
    </w:p>
    <w:p w:rsidR="00257E86" w:rsidRDefault="00B53151" w:rsidP="00B53151">
      <w:pPr>
        <w:ind w:left="-1350"/>
        <w:rPr>
          <w:sz w:val="24"/>
          <w:szCs w:val="24"/>
        </w:rPr>
      </w:pPr>
      <w:r w:rsidRPr="00B53151">
        <w:rPr>
          <w:noProof/>
          <w:lang w:eastAsia="zh-CN"/>
        </w:rPr>
        <w:drawing>
          <wp:inline distT="0" distB="0" distL="0" distR="0" wp14:anchorId="11CE06DA" wp14:editId="153C224D">
            <wp:extent cx="7651699" cy="1343952"/>
            <wp:effectExtent l="0" t="0" r="6985"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705069" cy="1353326"/>
                    </a:xfrm>
                    <a:prstGeom prst="rect">
                      <a:avLst/>
                    </a:prstGeom>
                  </pic:spPr>
                </pic:pic>
              </a:graphicData>
            </a:graphic>
          </wp:inline>
        </w:drawing>
      </w:r>
    </w:p>
    <w:p w:rsidR="00B53151" w:rsidRDefault="008F7CFA" w:rsidP="00B01AEC">
      <w:pPr>
        <w:rPr>
          <w:sz w:val="24"/>
          <w:szCs w:val="24"/>
        </w:rPr>
      </w:pPr>
      <w:r>
        <w:rPr>
          <w:b/>
          <w:sz w:val="24"/>
          <w:szCs w:val="24"/>
        </w:rPr>
        <w:t>Key Takeaways:</w:t>
      </w:r>
      <w:r>
        <w:rPr>
          <w:sz w:val="24"/>
          <w:szCs w:val="24"/>
        </w:rPr>
        <w:t xml:space="preserve"> The implied values are slightly higher than in the DDM, but once again, the company’s long-term ROCE would have to exceed those</w:t>
      </w:r>
      <w:r w:rsidR="002749EF">
        <w:rPr>
          <w:sz w:val="24"/>
          <w:szCs w:val="24"/>
        </w:rPr>
        <w:t xml:space="preserve"> of the more mature comparable banks </w:t>
      </w:r>
      <w:r>
        <w:rPr>
          <w:sz w:val="24"/>
          <w:szCs w:val="24"/>
        </w:rPr>
        <w:t xml:space="preserve">and its Cost of Equity would have to be a good amount lower for it to </w:t>
      </w:r>
      <w:r w:rsidRPr="00510981">
        <w:rPr>
          <w:noProof/>
          <w:sz w:val="24"/>
          <w:szCs w:val="24"/>
        </w:rPr>
        <w:t>be undervalued</w:t>
      </w:r>
      <w:r>
        <w:rPr>
          <w:sz w:val="24"/>
          <w:szCs w:val="24"/>
        </w:rPr>
        <w:t>.</w:t>
      </w:r>
    </w:p>
    <w:p w:rsidR="00257E86" w:rsidRDefault="008F7CFA" w:rsidP="00B01AEC">
      <w:pPr>
        <w:rPr>
          <w:sz w:val="24"/>
          <w:szCs w:val="24"/>
        </w:rPr>
      </w:pPr>
      <w:r>
        <w:rPr>
          <w:sz w:val="24"/>
          <w:szCs w:val="24"/>
        </w:rPr>
        <w:t>The sensitivity on the Final Year Total Asset Growth Rate once again made a marginal difference, so we are not showing it here.</w:t>
      </w:r>
    </w:p>
    <w:p w:rsidR="002749EF" w:rsidRDefault="002749EF" w:rsidP="00B01AEC">
      <w:pPr>
        <w:rPr>
          <w:sz w:val="24"/>
          <w:szCs w:val="24"/>
        </w:rPr>
      </w:pPr>
      <w:hyperlink w:anchor="Top" w:history="1">
        <w:r w:rsidRPr="00EA1047">
          <w:rPr>
            <w:rStyle w:val="Hyperlink"/>
            <w:sz w:val="24"/>
            <w:szCs w:val="24"/>
          </w:rPr>
          <w:t>Return to Top</w:t>
        </w:r>
      </w:hyperlink>
      <w:r>
        <w:rPr>
          <w:sz w:val="24"/>
          <w:szCs w:val="24"/>
        </w:rPr>
        <w:t>.</w:t>
      </w:r>
    </w:p>
    <w:p w:rsidR="00257E86" w:rsidRPr="00FA349B" w:rsidRDefault="00257E86" w:rsidP="00257E86">
      <w:pPr>
        <w:rPr>
          <w:b/>
          <w:sz w:val="24"/>
          <w:szCs w:val="24"/>
        </w:rPr>
      </w:pPr>
      <w:bookmarkStart w:id="10" w:name="Regression"/>
      <w:r>
        <w:rPr>
          <w:b/>
          <w:sz w:val="24"/>
          <w:szCs w:val="24"/>
        </w:rPr>
        <w:t>Regression Analysis</w:t>
      </w:r>
    </w:p>
    <w:bookmarkEnd w:id="10"/>
    <w:p w:rsidR="008F7CFA" w:rsidRDefault="008F7CFA" w:rsidP="00B01AEC">
      <w:pPr>
        <w:rPr>
          <w:sz w:val="24"/>
          <w:szCs w:val="24"/>
        </w:rPr>
      </w:pPr>
      <w:r>
        <w:rPr>
          <w:sz w:val="24"/>
          <w:szCs w:val="24"/>
        </w:rPr>
        <w:t>As another way to check our valuation, we also built a regression analysis to determine the relationship between FY16 ROTCE and P / TBV for a broad set of UK-based commercial banks.</w:t>
      </w:r>
    </w:p>
    <w:p w:rsidR="008F7CFA" w:rsidRDefault="008F7CFA" w:rsidP="00B01AEC">
      <w:pPr>
        <w:rPr>
          <w:sz w:val="24"/>
          <w:szCs w:val="24"/>
        </w:rPr>
      </w:pPr>
      <w:r>
        <w:rPr>
          <w:sz w:val="24"/>
          <w:szCs w:val="24"/>
        </w:rPr>
        <w:t>This set included 15 UK-based banks, ranging from “The Big Five” (Barclays, HSBC, Lloyds, Standard Chartered, and RBS) down to specialty lenders such as Shawbrook and its peer group.</w:t>
      </w:r>
    </w:p>
    <w:p w:rsidR="008F7CFA" w:rsidRDefault="008F7CFA" w:rsidP="00B01AEC">
      <w:pPr>
        <w:rPr>
          <w:sz w:val="24"/>
          <w:szCs w:val="24"/>
        </w:rPr>
      </w:pPr>
      <w:r>
        <w:rPr>
          <w:sz w:val="24"/>
          <w:szCs w:val="24"/>
        </w:rPr>
        <w:t>We then used this relationship to calculate Shawbrook’s im</w:t>
      </w:r>
      <w:r w:rsidR="002749EF">
        <w:rPr>
          <w:sz w:val="24"/>
          <w:szCs w:val="24"/>
        </w:rPr>
        <w:t xml:space="preserve">plied FY16 P / TBV multiple and </w:t>
      </w:r>
      <w:r>
        <w:rPr>
          <w:sz w:val="24"/>
          <w:szCs w:val="24"/>
        </w:rPr>
        <w:t>Implied Equity Value</w:t>
      </w:r>
      <w:r w:rsidR="002749EF">
        <w:rPr>
          <w:sz w:val="24"/>
          <w:szCs w:val="24"/>
        </w:rPr>
        <w:t>.</w:t>
      </w:r>
    </w:p>
    <w:p w:rsidR="008F7CFA" w:rsidRPr="008F7CFA" w:rsidRDefault="008F7CFA" w:rsidP="00B01AEC">
      <w:pPr>
        <w:rPr>
          <w:sz w:val="24"/>
          <w:szCs w:val="24"/>
        </w:rPr>
      </w:pPr>
      <w:r>
        <w:rPr>
          <w:sz w:val="24"/>
          <w:szCs w:val="24"/>
        </w:rPr>
        <w:t xml:space="preserve">We did </w:t>
      </w:r>
      <w:r>
        <w:rPr>
          <w:b/>
          <w:sz w:val="24"/>
          <w:szCs w:val="24"/>
        </w:rPr>
        <w:t>not</w:t>
      </w:r>
      <w:r>
        <w:rPr>
          <w:sz w:val="24"/>
          <w:szCs w:val="24"/>
        </w:rPr>
        <w:t xml:space="preserve"> adjust any of these figures for Excess or Deficit Capital because the banks were very different </w:t>
      </w:r>
      <w:r w:rsidR="00212721">
        <w:rPr>
          <w:sz w:val="24"/>
          <w:szCs w:val="24"/>
        </w:rPr>
        <w:t xml:space="preserve">sizes and focused on different markets. The output </w:t>
      </w:r>
      <w:r w:rsidR="00212721" w:rsidRPr="00510981">
        <w:rPr>
          <w:noProof/>
          <w:sz w:val="24"/>
          <w:szCs w:val="24"/>
        </w:rPr>
        <w:t xml:space="preserve">is </w:t>
      </w:r>
      <w:r w:rsidR="00212721">
        <w:rPr>
          <w:sz w:val="24"/>
          <w:szCs w:val="24"/>
        </w:rPr>
        <w:t>below:</w:t>
      </w:r>
    </w:p>
    <w:p w:rsidR="008F7CFA" w:rsidRDefault="00212721" w:rsidP="00B01AEC">
      <w:pPr>
        <w:rPr>
          <w:sz w:val="24"/>
          <w:szCs w:val="24"/>
        </w:rPr>
      </w:pPr>
      <w:r w:rsidRPr="00212721">
        <w:rPr>
          <w:noProof/>
          <w:lang w:eastAsia="zh-CN"/>
        </w:rPr>
        <w:lastRenderedPageBreak/>
        <w:drawing>
          <wp:inline distT="0" distB="0" distL="0" distR="0" wp14:anchorId="5E7CB9B4" wp14:editId="5FC2B402">
            <wp:extent cx="5943600" cy="365950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659505"/>
                    </a:xfrm>
                    <a:prstGeom prst="rect">
                      <a:avLst/>
                    </a:prstGeom>
                  </pic:spPr>
                </pic:pic>
              </a:graphicData>
            </a:graphic>
          </wp:inline>
        </w:drawing>
      </w:r>
    </w:p>
    <w:p w:rsidR="00257E86" w:rsidRDefault="00212721" w:rsidP="00B01AEC">
      <w:pPr>
        <w:rPr>
          <w:sz w:val="24"/>
          <w:szCs w:val="24"/>
        </w:rPr>
      </w:pPr>
      <w:r>
        <w:rPr>
          <w:sz w:val="24"/>
          <w:szCs w:val="24"/>
        </w:rPr>
        <w:t xml:space="preserve">In the </w:t>
      </w:r>
      <w:r>
        <w:rPr>
          <w:b/>
          <w:sz w:val="24"/>
          <w:szCs w:val="24"/>
        </w:rPr>
        <w:t>Base Case</w:t>
      </w:r>
      <w:r>
        <w:rPr>
          <w:sz w:val="24"/>
          <w:szCs w:val="24"/>
        </w:rPr>
        <w:t xml:space="preserve">, the Regression Analysis produced an implied share price of </w:t>
      </w:r>
      <w:r w:rsidRPr="00257E86">
        <w:rPr>
          <w:sz w:val="24"/>
          <w:szCs w:val="24"/>
        </w:rPr>
        <w:t>£</w:t>
      </w:r>
      <w:r>
        <w:rPr>
          <w:sz w:val="24"/>
          <w:szCs w:val="24"/>
        </w:rPr>
        <w:t xml:space="preserve">3.63 for Shawbrook; the Upside Case was </w:t>
      </w:r>
      <w:r w:rsidRPr="00257E86">
        <w:rPr>
          <w:sz w:val="24"/>
          <w:szCs w:val="24"/>
        </w:rPr>
        <w:t>£</w:t>
      </w:r>
      <w:r>
        <w:rPr>
          <w:sz w:val="24"/>
          <w:szCs w:val="24"/>
        </w:rPr>
        <w:t xml:space="preserve">4.23, and the Downside Case was </w:t>
      </w:r>
      <w:r w:rsidRPr="00257E86">
        <w:rPr>
          <w:sz w:val="24"/>
          <w:szCs w:val="24"/>
        </w:rPr>
        <w:t>£</w:t>
      </w:r>
      <w:r>
        <w:rPr>
          <w:sz w:val="24"/>
          <w:szCs w:val="24"/>
        </w:rPr>
        <w:t>2.87.</w:t>
      </w:r>
    </w:p>
    <w:p w:rsidR="00212721" w:rsidRPr="00212721" w:rsidRDefault="002749EF" w:rsidP="00B01AEC">
      <w:pPr>
        <w:rPr>
          <w:sz w:val="24"/>
          <w:szCs w:val="24"/>
        </w:rPr>
      </w:pPr>
      <w:r>
        <w:rPr>
          <w:sz w:val="24"/>
          <w:szCs w:val="24"/>
        </w:rPr>
        <w:t>T</w:t>
      </w:r>
      <w:r w:rsidR="00212721">
        <w:rPr>
          <w:sz w:val="24"/>
          <w:szCs w:val="24"/>
        </w:rPr>
        <w:t>hese results are not terribly surprising: similar to the multiples from the public comps, Shawbrook seems valued appropriately and perhaps slightly undervalued if you consider only its financial performance in the next 1-2 years.</w:t>
      </w:r>
    </w:p>
    <w:p w:rsidR="00B01AEC" w:rsidRDefault="00B01AEC" w:rsidP="00B01AEC">
      <w:pPr>
        <w:rPr>
          <w:sz w:val="24"/>
          <w:szCs w:val="24"/>
        </w:rPr>
      </w:pPr>
      <w:r>
        <w:rPr>
          <w:b/>
          <w:sz w:val="24"/>
          <w:szCs w:val="24"/>
        </w:rPr>
        <w:t>Valuation Conclusions</w:t>
      </w:r>
    </w:p>
    <w:p w:rsidR="008F7CFA" w:rsidRDefault="00212721" w:rsidP="00B01AEC">
      <w:pPr>
        <w:rPr>
          <w:sz w:val="24"/>
          <w:szCs w:val="24"/>
        </w:rPr>
      </w:pPr>
      <w:r>
        <w:rPr>
          <w:sz w:val="24"/>
          <w:szCs w:val="24"/>
        </w:rPr>
        <w:t>The most meaningful methodologies are the Dividend Discount Model and Residual Income Model, and the conclusions depend strongly on your view of Shawbrook.</w:t>
      </w:r>
    </w:p>
    <w:p w:rsidR="00212721" w:rsidRDefault="00212721" w:rsidP="00B01AEC">
      <w:pPr>
        <w:rPr>
          <w:sz w:val="24"/>
          <w:szCs w:val="24"/>
        </w:rPr>
      </w:pPr>
      <w:r>
        <w:rPr>
          <w:sz w:val="24"/>
          <w:szCs w:val="24"/>
        </w:rPr>
        <w:t xml:space="preserve">In the Base Case, the company </w:t>
      </w:r>
      <w:r w:rsidR="002749EF">
        <w:rPr>
          <w:sz w:val="24"/>
          <w:szCs w:val="24"/>
        </w:rPr>
        <w:t xml:space="preserve">appears </w:t>
      </w:r>
      <w:r>
        <w:rPr>
          <w:sz w:val="24"/>
          <w:szCs w:val="24"/>
        </w:rPr>
        <w:t xml:space="preserve">overvalued by ~30%; in the Upside Case, it </w:t>
      </w:r>
      <w:r w:rsidR="002749EF">
        <w:rPr>
          <w:sz w:val="24"/>
          <w:szCs w:val="24"/>
        </w:rPr>
        <w:t xml:space="preserve">appears </w:t>
      </w:r>
      <w:r>
        <w:rPr>
          <w:sz w:val="24"/>
          <w:szCs w:val="24"/>
        </w:rPr>
        <w:t xml:space="preserve">undervalued by ~30%, and in the Downside Case it </w:t>
      </w:r>
      <w:r w:rsidR="002749EF">
        <w:rPr>
          <w:sz w:val="24"/>
          <w:szCs w:val="24"/>
        </w:rPr>
        <w:t xml:space="preserve">appears </w:t>
      </w:r>
      <w:r>
        <w:rPr>
          <w:sz w:val="24"/>
          <w:szCs w:val="24"/>
        </w:rPr>
        <w:t>overvalued by ~50%.</w:t>
      </w:r>
    </w:p>
    <w:p w:rsidR="00212721" w:rsidRDefault="00E24278" w:rsidP="00B01AEC">
      <w:pPr>
        <w:rPr>
          <w:sz w:val="24"/>
          <w:szCs w:val="24"/>
        </w:rPr>
      </w:pPr>
      <w:r>
        <w:rPr>
          <w:sz w:val="24"/>
          <w:szCs w:val="24"/>
        </w:rPr>
        <w:t xml:space="preserve">We lean toward the </w:t>
      </w:r>
      <w:r>
        <w:rPr>
          <w:b/>
          <w:sz w:val="24"/>
          <w:szCs w:val="24"/>
        </w:rPr>
        <w:t>Base and Downside Cases</w:t>
      </w:r>
      <w:r>
        <w:rPr>
          <w:sz w:val="24"/>
          <w:szCs w:val="24"/>
        </w:rPr>
        <w:t xml:space="preserve"> being the most likely </w:t>
      </w:r>
      <w:r w:rsidR="002749EF">
        <w:rPr>
          <w:sz w:val="24"/>
          <w:szCs w:val="24"/>
        </w:rPr>
        <w:t>outcomes</w:t>
      </w:r>
      <w:r>
        <w:rPr>
          <w:sz w:val="24"/>
          <w:szCs w:val="24"/>
        </w:rPr>
        <w:t xml:space="preserve">, in which case </w:t>
      </w:r>
      <w:r w:rsidRPr="00510981">
        <w:rPr>
          <w:noProof/>
          <w:sz w:val="24"/>
          <w:szCs w:val="24"/>
        </w:rPr>
        <w:t>the company may be overvalued by 30-50%</w:t>
      </w:r>
      <w:r>
        <w:rPr>
          <w:sz w:val="24"/>
          <w:szCs w:val="24"/>
        </w:rPr>
        <w:t>.</w:t>
      </w:r>
    </w:p>
    <w:p w:rsidR="00EA1047" w:rsidRPr="0081383A" w:rsidRDefault="00CA70EF" w:rsidP="00B01AEC">
      <w:pPr>
        <w:rPr>
          <w:sz w:val="24"/>
          <w:szCs w:val="24"/>
        </w:rPr>
      </w:pPr>
      <w:hyperlink w:anchor="Top" w:history="1">
        <w:r w:rsidR="00EA1047" w:rsidRPr="00EA1047">
          <w:rPr>
            <w:rStyle w:val="Hyperlink"/>
            <w:sz w:val="24"/>
            <w:szCs w:val="24"/>
          </w:rPr>
          <w:t>Return to Top</w:t>
        </w:r>
      </w:hyperlink>
      <w:r w:rsidR="00EA1047">
        <w:rPr>
          <w:sz w:val="24"/>
          <w:szCs w:val="24"/>
        </w:rPr>
        <w:t>.</w:t>
      </w:r>
    </w:p>
    <w:p w:rsidR="00B01AEC" w:rsidRPr="00323DB8" w:rsidRDefault="00B01AEC" w:rsidP="00B01AEC">
      <w:pPr>
        <w:pBdr>
          <w:bottom w:val="single" w:sz="6" w:space="1" w:color="auto"/>
        </w:pBdr>
        <w:rPr>
          <w:b/>
          <w:sz w:val="24"/>
          <w:szCs w:val="24"/>
        </w:rPr>
      </w:pPr>
      <w:bookmarkStart w:id="11" w:name="InvestmentRisks"/>
      <w:r w:rsidRPr="00A92EF1">
        <w:rPr>
          <w:b/>
          <w:sz w:val="24"/>
          <w:szCs w:val="24"/>
        </w:rPr>
        <w:lastRenderedPageBreak/>
        <w:t>Investment Risks</w:t>
      </w:r>
    </w:p>
    <w:bookmarkEnd w:id="11"/>
    <w:p w:rsidR="00B01AEC" w:rsidRDefault="00B01AEC" w:rsidP="00B01AEC">
      <w:pPr>
        <w:rPr>
          <w:sz w:val="24"/>
          <w:szCs w:val="24"/>
        </w:rPr>
      </w:pPr>
      <w:r w:rsidRPr="00A92EF1">
        <w:rPr>
          <w:sz w:val="24"/>
          <w:szCs w:val="24"/>
        </w:rPr>
        <w:t>The top risk factors include:</w:t>
      </w:r>
    </w:p>
    <w:p w:rsidR="00B01AEC" w:rsidRPr="00323DB8" w:rsidRDefault="00E24278" w:rsidP="00E24278">
      <w:pPr>
        <w:pStyle w:val="ListParagraph"/>
        <w:numPr>
          <w:ilvl w:val="0"/>
          <w:numId w:val="7"/>
        </w:numPr>
        <w:rPr>
          <w:sz w:val="24"/>
          <w:szCs w:val="24"/>
        </w:rPr>
      </w:pPr>
      <w:r w:rsidRPr="00E24278">
        <w:rPr>
          <w:sz w:val="24"/>
          <w:szCs w:val="24"/>
        </w:rPr>
        <w:t>Risk weightings on BTL mortgages not changing or changing by less than expected</w:t>
      </w:r>
      <w:r>
        <w:rPr>
          <w:sz w:val="24"/>
          <w:szCs w:val="24"/>
        </w:rPr>
        <w:t>;</w:t>
      </w:r>
    </w:p>
    <w:p w:rsidR="00B01AEC" w:rsidRPr="00323DB8" w:rsidRDefault="00E24278" w:rsidP="00E24278">
      <w:pPr>
        <w:pStyle w:val="ListParagraph"/>
        <w:numPr>
          <w:ilvl w:val="0"/>
          <w:numId w:val="7"/>
        </w:numPr>
        <w:rPr>
          <w:sz w:val="24"/>
          <w:szCs w:val="24"/>
        </w:rPr>
      </w:pPr>
      <w:r w:rsidRPr="00E24278">
        <w:rPr>
          <w:sz w:val="24"/>
          <w:szCs w:val="24"/>
        </w:rPr>
        <w:t>The c</w:t>
      </w:r>
      <w:r>
        <w:rPr>
          <w:sz w:val="24"/>
          <w:szCs w:val="24"/>
        </w:rPr>
        <w:t xml:space="preserve">ommercial mortgage market growing </w:t>
      </w:r>
      <w:r w:rsidRPr="00E24278">
        <w:rPr>
          <w:sz w:val="24"/>
          <w:szCs w:val="24"/>
        </w:rPr>
        <w:t xml:space="preserve">more quickly than </w:t>
      </w:r>
      <w:r>
        <w:rPr>
          <w:sz w:val="24"/>
          <w:szCs w:val="24"/>
        </w:rPr>
        <w:t xml:space="preserve">expected, or Shawbrook capturing </w:t>
      </w:r>
      <w:r w:rsidRPr="00E24278">
        <w:rPr>
          <w:sz w:val="24"/>
          <w:szCs w:val="24"/>
        </w:rPr>
        <w:t>a higher-than-expected market share</w:t>
      </w:r>
      <w:r w:rsidR="00B01AEC" w:rsidRPr="00323DB8">
        <w:rPr>
          <w:sz w:val="24"/>
          <w:szCs w:val="24"/>
        </w:rPr>
        <w:t xml:space="preserve">; and </w:t>
      </w:r>
    </w:p>
    <w:p w:rsidR="00B01AEC" w:rsidRPr="00323DB8" w:rsidRDefault="00E24278" w:rsidP="00E24278">
      <w:pPr>
        <w:pStyle w:val="ListParagraph"/>
        <w:numPr>
          <w:ilvl w:val="0"/>
          <w:numId w:val="7"/>
        </w:numPr>
        <w:rPr>
          <w:sz w:val="24"/>
          <w:szCs w:val="24"/>
        </w:rPr>
      </w:pPr>
      <w:r>
        <w:rPr>
          <w:sz w:val="24"/>
          <w:szCs w:val="24"/>
        </w:rPr>
        <w:t xml:space="preserve">Loan interest spreads remaining the same or increasing, and funding </w:t>
      </w:r>
      <w:r w:rsidRPr="00510981">
        <w:rPr>
          <w:noProof/>
          <w:sz w:val="24"/>
          <w:szCs w:val="24"/>
        </w:rPr>
        <w:t>costs</w:t>
      </w:r>
      <w:r>
        <w:rPr>
          <w:sz w:val="24"/>
          <w:szCs w:val="24"/>
        </w:rPr>
        <w:t xml:space="preserve"> decreasing or staying </w:t>
      </w:r>
      <w:r w:rsidRPr="00E24278">
        <w:rPr>
          <w:sz w:val="24"/>
          <w:szCs w:val="24"/>
        </w:rPr>
        <w:t>about the same</w:t>
      </w:r>
      <w:r w:rsidR="00B01AEC" w:rsidRPr="00323DB8">
        <w:rPr>
          <w:sz w:val="24"/>
          <w:szCs w:val="24"/>
        </w:rPr>
        <w:t>.</w:t>
      </w:r>
    </w:p>
    <w:p w:rsidR="00B01AEC" w:rsidRPr="00A92EF1" w:rsidRDefault="006702DC" w:rsidP="00B01AEC">
      <w:pPr>
        <w:rPr>
          <w:sz w:val="24"/>
          <w:szCs w:val="24"/>
        </w:rPr>
      </w:pPr>
      <w:r>
        <w:rPr>
          <w:sz w:val="24"/>
          <w:szCs w:val="24"/>
        </w:rPr>
        <w:t>We’ll address each of the</w:t>
      </w:r>
      <w:r w:rsidR="00B01AEC" w:rsidRPr="00A92EF1">
        <w:rPr>
          <w:sz w:val="24"/>
          <w:szCs w:val="24"/>
        </w:rPr>
        <w:t>se risk factors and explain how to mitigate them</w:t>
      </w:r>
      <w:r w:rsidR="002749EF">
        <w:rPr>
          <w:sz w:val="24"/>
          <w:szCs w:val="24"/>
        </w:rPr>
        <w:t xml:space="preserve"> below</w:t>
      </w:r>
      <w:r w:rsidR="00B01AEC" w:rsidRPr="00A92EF1">
        <w:rPr>
          <w:sz w:val="24"/>
          <w:szCs w:val="24"/>
        </w:rPr>
        <w:t>:</w:t>
      </w:r>
    </w:p>
    <w:p w:rsidR="00F0380E" w:rsidRPr="004B760E" w:rsidRDefault="004B760E" w:rsidP="00B01AEC">
      <w:pPr>
        <w:rPr>
          <w:sz w:val="24"/>
          <w:szCs w:val="24"/>
        </w:rPr>
      </w:pPr>
      <w:r>
        <w:rPr>
          <w:b/>
          <w:sz w:val="24"/>
          <w:szCs w:val="24"/>
        </w:rPr>
        <w:t>Risk Weightings on BTL Mortgages Not Changing or Changing by Less Than Expected</w:t>
      </w:r>
    </w:p>
    <w:p w:rsidR="00E24278" w:rsidRDefault="00875875" w:rsidP="00B01AEC">
      <w:pPr>
        <w:rPr>
          <w:sz w:val="24"/>
          <w:szCs w:val="24"/>
        </w:rPr>
      </w:pPr>
      <w:r>
        <w:rPr>
          <w:sz w:val="24"/>
          <w:szCs w:val="24"/>
        </w:rPr>
        <w:t xml:space="preserve">As mentioned in </w:t>
      </w:r>
      <w:hyperlink w:anchor="Catalysts" w:history="1">
        <w:r w:rsidRPr="0066596B">
          <w:rPr>
            <w:rStyle w:val="Hyperlink"/>
            <w:sz w:val="24"/>
            <w:szCs w:val="24"/>
          </w:rPr>
          <w:t>the section on Catalysts</w:t>
        </w:r>
      </w:hyperlink>
      <w:r>
        <w:rPr>
          <w:sz w:val="24"/>
          <w:szCs w:val="24"/>
        </w:rPr>
        <w:t xml:space="preserve">, the risk weightings on BTL mortgages – as expressed in the model via different assumptions for Risk-Weighted Assets as a percentage of Interest-Earning Assets or Total Assets – make a </w:t>
      </w:r>
      <w:r>
        <w:rPr>
          <w:b/>
          <w:sz w:val="24"/>
          <w:szCs w:val="24"/>
        </w:rPr>
        <w:t>small difference</w:t>
      </w:r>
      <w:r>
        <w:rPr>
          <w:sz w:val="24"/>
          <w:szCs w:val="24"/>
        </w:rPr>
        <w:t xml:space="preserve"> </w:t>
      </w:r>
      <w:r w:rsidR="00510981">
        <w:rPr>
          <w:noProof/>
          <w:sz w:val="24"/>
          <w:szCs w:val="24"/>
        </w:rPr>
        <w:t>i</w:t>
      </w:r>
      <w:r w:rsidRPr="00510981">
        <w:rPr>
          <w:noProof/>
          <w:sz w:val="24"/>
          <w:szCs w:val="24"/>
        </w:rPr>
        <w:t>n</w:t>
      </w:r>
      <w:r>
        <w:rPr>
          <w:sz w:val="24"/>
          <w:szCs w:val="24"/>
        </w:rPr>
        <w:t xml:space="preserve"> the output.</w:t>
      </w:r>
    </w:p>
    <w:p w:rsidR="00875875" w:rsidRDefault="00875875" w:rsidP="00B01AEC">
      <w:pPr>
        <w:rPr>
          <w:sz w:val="24"/>
          <w:szCs w:val="24"/>
        </w:rPr>
      </w:pPr>
      <w:r>
        <w:rPr>
          <w:sz w:val="24"/>
          <w:szCs w:val="24"/>
        </w:rPr>
        <w:t xml:space="preserve">For example, if you assume that the company’s RWA as a % of IEA is 80% rather than 70% at the end of five </w:t>
      </w:r>
      <w:r w:rsidRPr="00510981">
        <w:rPr>
          <w:noProof/>
          <w:sz w:val="24"/>
          <w:szCs w:val="24"/>
        </w:rPr>
        <w:t>years</w:t>
      </w:r>
      <w:r w:rsidR="00510981">
        <w:rPr>
          <w:noProof/>
          <w:sz w:val="24"/>
          <w:szCs w:val="24"/>
        </w:rPr>
        <w:t>,</w:t>
      </w:r>
      <w:r w:rsidR="002B3372">
        <w:rPr>
          <w:sz w:val="24"/>
          <w:szCs w:val="24"/>
        </w:rPr>
        <w:t xml:space="preserve"> and then you extend that across the next </w:t>
      </w:r>
      <w:r w:rsidR="00510981">
        <w:rPr>
          <w:noProof/>
          <w:sz w:val="24"/>
          <w:szCs w:val="24"/>
        </w:rPr>
        <w:t>ten</w:t>
      </w:r>
      <w:r w:rsidR="002B3372">
        <w:rPr>
          <w:sz w:val="24"/>
          <w:szCs w:val="24"/>
        </w:rPr>
        <w:t xml:space="preserve"> years of the DDM</w:t>
      </w:r>
      <w:r>
        <w:rPr>
          <w:sz w:val="24"/>
          <w:szCs w:val="24"/>
        </w:rPr>
        <w:t>, its implied value changes by only 3%. A 10% differential is reasonable given that BTL mortgages represent 23% of Shawbrook’s loan portfolio.</w:t>
      </w:r>
    </w:p>
    <w:p w:rsidR="00875875" w:rsidRDefault="00875875" w:rsidP="00B01AEC">
      <w:pPr>
        <w:rPr>
          <w:sz w:val="24"/>
          <w:szCs w:val="24"/>
        </w:rPr>
      </w:pPr>
      <w:r>
        <w:rPr>
          <w:sz w:val="24"/>
          <w:szCs w:val="24"/>
        </w:rPr>
        <w:t>So by itself, this specific risk factor barely makes a difference on the company’s implied value.</w:t>
      </w:r>
    </w:p>
    <w:p w:rsidR="00875875" w:rsidRDefault="00875875" w:rsidP="00B01AEC">
      <w:pPr>
        <w:rPr>
          <w:sz w:val="24"/>
          <w:szCs w:val="24"/>
        </w:rPr>
      </w:pPr>
      <w:r>
        <w:rPr>
          <w:sz w:val="24"/>
          <w:szCs w:val="24"/>
        </w:rPr>
        <w:t xml:space="preserve">The real impact is that these higher risk weightings will cause the company’s loans to grow more slowly than expected </w:t>
      </w:r>
      <w:r w:rsidR="006F2C79">
        <w:rPr>
          <w:sz w:val="24"/>
          <w:szCs w:val="24"/>
        </w:rPr>
        <w:t>(see the next section).</w:t>
      </w:r>
    </w:p>
    <w:p w:rsidR="004B760E" w:rsidRPr="004B760E" w:rsidRDefault="004B760E" w:rsidP="00B01AEC">
      <w:pPr>
        <w:rPr>
          <w:sz w:val="24"/>
          <w:szCs w:val="24"/>
        </w:rPr>
      </w:pPr>
      <w:r>
        <w:rPr>
          <w:b/>
          <w:sz w:val="24"/>
          <w:szCs w:val="24"/>
        </w:rPr>
        <w:t>The Commercial Mortgage Market Growing More Quickly Than Expected, or Shawbrook Capturing a Higher-Than-Expected Market Share</w:t>
      </w:r>
    </w:p>
    <w:p w:rsidR="004B760E" w:rsidRDefault="006F2C79" w:rsidP="00B01AEC">
      <w:pPr>
        <w:rPr>
          <w:sz w:val="24"/>
          <w:szCs w:val="24"/>
        </w:rPr>
      </w:pPr>
      <w:r>
        <w:rPr>
          <w:sz w:val="24"/>
          <w:szCs w:val="24"/>
        </w:rPr>
        <w:t xml:space="preserve">We addressed both of these risk factors </w:t>
      </w:r>
      <w:hyperlink w:anchor="Catalysts" w:history="1">
        <w:r w:rsidRPr="0066596B">
          <w:rPr>
            <w:rStyle w:val="Hyperlink"/>
            <w:sz w:val="24"/>
            <w:szCs w:val="24"/>
          </w:rPr>
          <w:t>in the section on Catalysts</w:t>
        </w:r>
      </w:hyperlink>
      <w:r>
        <w:rPr>
          <w:sz w:val="24"/>
          <w:szCs w:val="24"/>
        </w:rPr>
        <w:t xml:space="preserve">: if Shawbrook’s commercial mortgage loan portfolio grows by 3x rather than 4x over five years, it changes the company’s implied value by approximately </w:t>
      </w:r>
      <w:r w:rsidRPr="00443A98">
        <w:rPr>
          <w:b/>
          <w:sz w:val="24"/>
          <w:szCs w:val="24"/>
        </w:rPr>
        <w:t>10-15%</w:t>
      </w:r>
      <w:r>
        <w:rPr>
          <w:sz w:val="24"/>
          <w:szCs w:val="24"/>
        </w:rPr>
        <w:t>.</w:t>
      </w:r>
    </w:p>
    <w:p w:rsidR="006F2C79" w:rsidRDefault="006F2C79" w:rsidP="00B01AEC">
      <w:pPr>
        <w:rPr>
          <w:sz w:val="24"/>
          <w:szCs w:val="24"/>
        </w:rPr>
      </w:pPr>
      <w:r>
        <w:rPr>
          <w:sz w:val="24"/>
          <w:szCs w:val="24"/>
        </w:rPr>
        <w:t xml:space="preserve">More broadly, higher UK GDP growth and market share gains for Shawbrook </w:t>
      </w:r>
      <w:r w:rsidR="00443A98">
        <w:rPr>
          <w:sz w:val="24"/>
          <w:szCs w:val="24"/>
        </w:rPr>
        <w:t xml:space="preserve">across all loan segments </w:t>
      </w:r>
      <w:r>
        <w:rPr>
          <w:sz w:val="24"/>
          <w:szCs w:val="24"/>
        </w:rPr>
        <w:t>translate into significantly higher numbers in o</w:t>
      </w:r>
      <w:r w:rsidR="00DD5C67">
        <w:rPr>
          <w:sz w:val="24"/>
          <w:szCs w:val="24"/>
        </w:rPr>
        <w:t xml:space="preserve">ur Upside Case, </w:t>
      </w:r>
      <w:r>
        <w:rPr>
          <w:sz w:val="24"/>
          <w:szCs w:val="24"/>
        </w:rPr>
        <w:t xml:space="preserve">where </w:t>
      </w:r>
      <w:r w:rsidR="00DD5C67" w:rsidRPr="00510981">
        <w:rPr>
          <w:noProof/>
          <w:sz w:val="24"/>
          <w:szCs w:val="24"/>
        </w:rPr>
        <w:t>the company is undervalued by ~30%</w:t>
      </w:r>
      <w:r w:rsidR="00DD5C67">
        <w:rPr>
          <w:sz w:val="24"/>
          <w:szCs w:val="24"/>
        </w:rPr>
        <w:t>.</w:t>
      </w:r>
    </w:p>
    <w:p w:rsidR="006F2C79" w:rsidRDefault="00443A98" w:rsidP="00B01AEC">
      <w:pPr>
        <w:rPr>
          <w:sz w:val="24"/>
          <w:szCs w:val="24"/>
        </w:rPr>
      </w:pPr>
      <w:r>
        <w:rPr>
          <w:sz w:val="24"/>
          <w:szCs w:val="24"/>
        </w:rPr>
        <w:lastRenderedPageBreak/>
        <w:t>While it’s possible for the broader lending markets and BTL mortgages to grow at faster-than-expected rates, we are skeptical based on recent industry data:</w:t>
      </w:r>
    </w:p>
    <w:p w:rsidR="00443A98" w:rsidRDefault="00443A98" w:rsidP="00B01AEC">
      <w:pPr>
        <w:rPr>
          <w:sz w:val="24"/>
          <w:szCs w:val="24"/>
        </w:rPr>
      </w:pPr>
      <w:r w:rsidRPr="00443A98">
        <w:rPr>
          <w:noProof/>
          <w:lang w:eastAsia="zh-CN"/>
        </w:rPr>
        <w:drawing>
          <wp:inline distT="0" distB="0" distL="0" distR="0" wp14:anchorId="041864DB" wp14:editId="0F814043">
            <wp:extent cx="5400000" cy="24095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00" cy="2409524"/>
                    </a:xfrm>
                    <a:prstGeom prst="rect">
                      <a:avLst/>
                    </a:prstGeom>
                  </pic:spPr>
                </pic:pic>
              </a:graphicData>
            </a:graphic>
          </wp:inline>
        </w:drawing>
      </w:r>
    </w:p>
    <w:p w:rsidR="00443A98" w:rsidRDefault="00443A98" w:rsidP="00B01AEC">
      <w:pPr>
        <w:rPr>
          <w:sz w:val="24"/>
          <w:szCs w:val="24"/>
        </w:rPr>
      </w:pPr>
      <w:r>
        <w:rPr>
          <w:sz w:val="24"/>
          <w:szCs w:val="24"/>
        </w:rPr>
        <w:t xml:space="preserve">Not only were industry-wide numbers for 1H15 lower than expected, but Shawbrook’s </w:t>
      </w:r>
      <w:r w:rsidR="00041EB3">
        <w:rPr>
          <w:sz w:val="24"/>
          <w:szCs w:val="24"/>
        </w:rPr>
        <w:t xml:space="preserve">results for the first half of the year came in lower than expected. Virtually everyone we spoke with reported a </w:t>
      </w:r>
      <w:r w:rsidR="00DD5C67">
        <w:rPr>
          <w:sz w:val="24"/>
          <w:szCs w:val="24"/>
        </w:rPr>
        <w:t xml:space="preserve">slow </w:t>
      </w:r>
      <w:r w:rsidR="00041EB3">
        <w:rPr>
          <w:sz w:val="24"/>
          <w:szCs w:val="24"/>
        </w:rPr>
        <w:t>market, with comments like the following:</w:t>
      </w:r>
    </w:p>
    <w:p w:rsidR="00041EB3" w:rsidRPr="004F054D" w:rsidRDefault="00041EB3" w:rsidP="00041EB3">
      <w:pPr>
        <w:rPr>
          <w:i/>
          <w:sz w:val="24"/>
          <w:szCs w:val="24"/>
        </w:rPr>
      </w:pPr>
      <w:r w:rsidRPr="004F054D">
        <w:rPr>
          <w:i/>
          <w:sz w:val="24"/>
          <w:szCs w:val="24"/>
        </w:rPr>
        <w:t>“Sales of higher-end residences have been sluggish this year, and we’ve had to reduce prices in several cases to complete deals. Transactions are also taking about 20-30% longer to close than in past years. Foreign money is still flowing in, but the volume has decreased greatly.”</w:t>
      </w:r>
    </w:p>
    <w:p w:rsidR="00041EB3" w:rsidRDefault="00041EB3" w:rsidP="00B01AEC">
      <w:pPr>
        <w:rPr>
          <w:sz w:val="24"/>
          <w:szCs w:val="24"/>
        </w:rPr>
      </w:pPr>
      <w:r>
        <w:rPr>
          <w:sz w:val="24"/>
          <w:szCs w:val="24"/>
        </w:rPr>
        <w:t>So we are reasonably confident that commercial mortgage loan growth and BTL loan growth specifically will be lower than expected.</w:t>
      </w:r>
    </w:p>
    <w:p w:rsidR="00041EB3" w:rsidRDefault="00041EB3" w:rsidP="00B01AEC">
      <w:pPr>
        <w:rPr>
          <w:sz w:val="24"/>
          <w:szCs w:val="24"/>
        </w:rPr>
      </w:pPr>
      <w:r>
        <w:rPr>
          <w:sz w:val="24"/>
          <w:szCs w:val="24"/>
        </w:rPr>
        <w:t>If we are wrong, we could hedge against this risk in several ways:</w:t>
      </w:r>
    </w:p>
    <w:p w:rsidR="00041EB3" w:rsidRDefault="00DD5C67" w:rsidP="00041EB3">
      <w:pPr>
        <w:pStyle w:val="ListParagraph"/>
        <w:numPr>
          <w:ilvl w:val="0"/>
          <w:numId w:val="17"/>
        </w:numPr>
        <w:rPr>
          <w:sz w:val="24"/>
          <w:szCs w:val="24"/>
        </w:rPr>
      </w:pPr>
      <w:r w:rsidRPr="00510981">
        <w:rPr>
          <w:b/>
          <w:noProof/>
          <w:sz w:val="24"/>
          <w:szCs w:val="24"/>
        </w:rPr>
        <w:t>Purchase c</w:t>
      </w:r>
      <w:r w:rsidR="00041EB3" w:rsidRPr="00510981">
        <w:rPr>
          <w:b/>
          <w:noProof/>
          <w:sz w:val="24"/>
          <w:szCs w:val="24"/>
        </w:rPr>
        <w:t>all</w:t>
      </w:r>
      <w:r w:rsidR="00041EB3" w:rsidRPr="00041EB3">
        <w:rPr>
          <w:b/>
          <w:sz w:val="24"/>
          <w:szCs w:val="24"/>
        </w:rPr>
        <w:t xml:space="preserve"> options</w:t>
      </w:r>
      <w:r w:rsidR="00041EB3">
        <w:rPr>
          <w:sz w:val="24"/>
          <w:szCs w:val="24"/>
        </w:rPr>
        <w:t xml:space="preserve"> with strike prices about 20% higher than Shawbrook’s current share price (</w:t>
      </w:r>
      <w:r w:rsidR="00041EB3" w:rsidRPr="00257E86">
        <w:rPr>
          <w:sz w:val="24"/>
          <w:szCs w:val="24"/>
        </w:rPr>
        <w:t>£</w:t>
      </w:r>
      <w:r w:rsidR="00041EB3">
        <w:rPr>
          <w:sz w:val="24"/>
          <w:szCs w:val="24"/>
        </w:rPr>
        <w:t xml:space="preserve">3.93 vs. </w:t>
      </w:r>
      <w:r w:rsidR="00041EB3" w:rsidRPr="00257E86">
        <w:rPr>
          <w:sz w:val="24"/>
          <w:szCs w:val="24"/>
        </w:rPr>
        <w:t>£</w:t>
      </w:r>
      <w:r w:rsidR="00041EB3">
        <w:rPr>
          <w:sz w:val="24"/>
          <w:szCs w:val="24"/>
        </w:rPr>
        <w:t>3.27). We see no reason to accept more than a 20% loss if the potential gains are in the 30-50% range.</w:t>
      </w:r>
    </w:p>
    <w:p w:rsidR="00041EB3" w:rsidRDefault="00041EB3" w:rsidP="00041EB3">
      <w:pPr>
        <w:pStyle w:val="ListParagraph"/>
        <w:numPr>
          <w:ilvl w:val="0"/>
          <w:numId w:val="17"/>
        </w:numPr>
        <w:rPr>
          <w:sz w:val="24"/>
          <w:szCs w:val="24"/>
        </w:rPr>
      </w:pPr>
      <w:r>
        <w:rPr>
          <w:b/>
          <w:sz w:val="24"/>
          <w:szCs w:val="24"/>
        </w:rPr>
        <w:t>Long a more BTL-focused competitor</w:t>
      </w:r>
      <w:r>
        <w:rPr>
          <w:sz w:val="24"/>
          <w:szCs w:val="24"/>
        </w:rPr>
        <w:t>. For example, 91% of Paragon’s loan book consists of BTL mortgages, and OneSavings Bank’s exposure is 55%. That way, if we’re completely wrong abou</w:t>
      </w:r>
      <w:r w:rsidR="00DD5C67">
        <w:rPr>
          <w:sz w:val="24"/>
          <w:szCs w:val="24"/>
        </w:rPr>
        <w:t xml:space="preserve">t the slowdown in BTL mortgages, </w:t>
      </w:r>
      <w:r>
        <w:rPr>
          <w:sz w:val="24"/>
          <w:szCs w:val="24"/>
        </w:rPr>
        <w:t>we could take advantage of the upside elsewhere.</w:t>
      </w:r>
    </w:p>
    <w:p w:rsidR="006F2C79" w:rsidRPr="00B33FF2" w:rsidRDefault="00B33FF2" w:rsidP="00B01AEC">
      <w:pPr>
        <w:pStyle w:val="ListParagraph"/>
        <w:numPr>
          <w:ilvl w:val="0"/>
          <w:numId w:val="17"/>
        </w:numPr>
        <w:rPr>
          <w:sz w:val="24"/>
          <w:szCs w:val="24"/>
        </w:rPr>
      </w:pPr>
      <w:r>
        <w:rPr>
          <w:b/>
          <w:sz w:val="24"/>
          <w:szCs w:val="24"/>
        </w:rPr>
        <w:lastRenderedPageBreak/>
        <w:t>Long a more diversified, larger bank.</w:t>
      </w:r>
      <w:r>
        <w:rPr>
          <w:sz w:val="24"/>
          <w:szCs w:val="24"/>
        </w:rPr>
        <w:t xml:space="preserve"> For example, we could long one of the Big 5 banks with significant mortgage exposure, or even long an index fund or ETF that tracks the entire commercial banking or real estate sectors in the UK.</w:t>
      </w:r>
    </w:p>
    <w:p w:rsidR="004B760E" w:rsidRPr="004B760E" w:rsidRDefault="004B760E" w:rsidP="00B01AEC">
      <w:pPr>
        <w:rPr>
          <w:sz w:val="24"/>
          <w:szCs w:val="24"/>
        </w:rPr>
      </w:pPr>
      <w:r>
        <w:rPr>
          <w:b/>
          <w:sz w:val="24"/>
          <w:szCs w:val="24"/>
        </w:rPr>
        <w:t>Loan Interest Spreads Remaining the Same or Increasing, and Funding Costs Decreasing or Staying About the Same</w:t>
      </w:r>
    </w:p>
    <w:p w:rsidR="00B33FF2" w:rsidRDefault="00B33FF2" w:rsidP="00B01AEC">
      <w:pPr>
        <w:rPr>
          <w:sz w:val="24"/>
          <w:szCs w:val="24"/>
        </w:rPr>
      </w:pPr>
      <w:r>
        <w:rPr>
          <w:sz w:val="24"/>
          <w:szCs w:val="24"/>
        </w:rPr>
        <w:t xml:space="preserve">In </w:t>
      </w:r>
      <w:r>
        <w:rPr>
          <w:sz w:val="24"/>
          <w:szCs w:val="24"/>
          <w:u w:val="single"/>
        </w:rPr>
        <w:t>all</w:t>
      </w:r>
      <w:r>
        <w:rPr>
          <w:sz w:val="24"/>
          <w:szCs w:val="24"/>
        </w:rPr>
        <w:t xml:space="preserve"> the scenarios </w:t>
      </w:r>
      <w:r w:rsidR="00DD5C67">
        <w:rPr>
          <w:sz w:val="24"/>
          <w:szCs w:val="24"/>
        </w:rPr>
        <w:t xml:space="preserve">in </w:t>
      </w:r>
      <w:r>
        <w:rPr>
          <w:sz w:val="24"/>
          <w:szCs w:val="24"/>
        </w:rPr>
        <w:t>our model, we assumed a modest decline of ~1% in LIBOR spreads on the company’s assets over the next five years:</w:t>
      </w:r>
    </w:p>
    <w:p w:rsidR="00B33FF2" w:rsidRDefault="00B33FF2" w:rsidP="00B33FF2">
      <w:pPr>
        <w:pStyle w:val="ListParagraph"/>
        <w:numPr>
          <w:ilvl w:val="0"/>
          <w:numId w:val="13"/>
        </w:numPr>
        <w:rPr>
          <w:sz w:val="24"/>
          <w:szCs w:val="24"/>
        </w:rPr>
      </w:pPr>
      <w:r>
        <w:rPr>
          <w:b/>
          <w:sz w:val="24"/>
          <w:szCs w:val="24"/>
        </w:rPr>
        <w:t>Commercial Mortgages:</w:t>
      </w:r>
      <w:r>
        <w:rPr>
          <w:sz w:val="24"/>
          <w:szCs w:val="24"/>
        </w:rPr>
        <w:t xml:space="preserve"> L + 600 bps </w:t>
      </w:r>
      <w:r w:rsidRPr="003E620C">
        <w:rPr>
          <w:sz w:val="24"/>
          <w:szCs w:val="24"/>
        </w:rPr>
        <w:sym w:font="Wingdings" w:char="F0E0"/>
      </w:r>
      <w:r>
        <w:rPr>
          <w:sz w:val="24"/>
          <w:szCs w:val="24"/>
        </w:rPr>
        <w:t xml:space="preserve"> Declines to L + 470 bps by Year 5</w:t>
      </w:r>
    </w:p>
    <w:p w:rsidR="00B33FF2" w:rsidRDefault="00B33FF2" w:rsidP="00B33FF2">
      <w:pPr>
        <w:pStyle w:val="ListParagraph"/>
        <w:numPr>
          <w:ilvl w:val="0"/>
          <w:numId w:val="13"/>
        </w:numPr>
        <w:rPr>
          <w:sz w:val="24"/>
          <w:szCs w:val="24"/>
        </w:rPr>
      </w:pPr>
      <w:r>
        <w:rPr>
          <w:b/>
          <w:sz w:val="24"/>
          <w:szCs w:val="24"/>
        </w:rPr>
        <w:t>Asset Finance:</w:t>
      </w:r>
      <w:r>
        <w:rPr>
          <w:sz w:val="24"/>
          <w:szCs w:val="24"/>
        </w:rPr>
        <w:t xml:space="preserve"> L + 970 bps </w:t>
      </w:r>
      <w:r w:rsidRPr="003E620C">
        <w:rPr>
          <w:sz w:val="24"/>
          <w:szCs w:val="24"/>
        </w:rPr>
        <w:sym w:font="Wingdings" w:char="F0E0"/>
      </w:r>
      <w:r>
        <w:rPr>
          <w:sz w:val="24"/>
          <w:szCs w:val="24"/>
        </w:rPr>
        <w:t xml:space="preserve"> Declines to L + 890 bps by Year 5</w:t>
      </w:r>
    </w:p>
    <w:p w:rsidR="00B33FF2" w:rsidRDefault="00B33FF2" w:rsidP="00B33FF2">
      <w:pPr>
        <w:pStyle w:val="ListParagraph"/>
        <w:numPr>
          <w:ilvl w:val="0"/>
          <w:numId w:val="13"/>
        </w:numPr>
        <w:rPr>
          <w:sz w:val="24"/>
          <w:szCs w:val="24"/>
        </w:rPr>
      </w:pPr>
      <w:r>
        <w:rPr>
          <w:b/>
          <w:sz w:val="24"/>
          <w:szCs w:val="24"/>
        </w:rPr>
        <w:t>Business Credit:</w:t>
      </w:r>
      <w:r>
        <w:rPr>
          <w:sz w:val="24"/>
          <w:szCs w:val="24"/>
        </w:rPr>
        <w:t xml:space="preserve"> L + 670 bps </w:t>
      </w:r>
      <w:r w:rsidRPr="003E620C">
        <w:rPr>
          <w:sz w:val="24"/>
          <w:szCs w:val="24"/>
        </w:rPr>
        <w:sym w:font="Wingdings" w:char="F0E0"/>
      </w:r>
      <w:r>
        <w:rPr>
          <w:sz w:val="24"/>
          <w:szCs w:val="24"/>
        </w:rPr>
        <w:t xml:space="preserve"> Declines to L + 600 bps by Year 5</w:t>
      </w:r>
    </w:p>
    <w:p w:rsidR="00B33FF2" w:rsidRDefault="00B33FF2" w:rsidP="00B33FF2">
      <w:pPr>
        <w:pStyle w:val="ListParagraph"/>
        <w:numPr>
          <w:ilvl w:val="0"/>
          <w:numId w:val="13"/>
        </w:numPr>
        <w:rPr>
          <w:sz w:val="24"/>
          <w:szCs w:val="24"/>
        </w:rPr>
      </w:pPr>
      <w:r>
        <w:rPr>
          <w:b/>
          <w:sz w:val="24"/>
          <w:szCs w:val="24"/>
        </w:rPr>
        <w:t>Secured Lending:</w:t>
      </w:r>
      <w:r>
        <w:rPr>
          <w:sz w:val="24"/>
          <w:szCs w:val="24"/>
        </w:rPr>
        <w:t xml:space="preserve"> L + 980 bps </w:t>
      </w:r>
      <w:r w:rsidRPr="003E620C">
        <w:rPr>
          <w:sz w:val="24"/>
          <w:szCs w:val="24"/>
        </w:rPr>
        <w:sym w:font="Wingdings" w:char="F0E0"/>
      </w:r>
      <w:r>
        <w:rPr>
          <w:sz w:val="24"/>
          <w:szCs w:val="24"/>
        </w:rPr>
        <w:t xml:space="preserve"> Declines to L + 900 bps by Year 5</w:t>
      </w:r>
    </w:p>
    <w:p w:rsidR="00B33FF2" w:rsidRPr="00E4409C" w:rsidRDefault="00B33FF2" w:rsidP="00B33FF2">
      <w:pPr>
        <w:pStyle w:val="ListParagraph"/>
        <w:numPr>
          <w:ilvl w:val="0"/>
          <w:numId w:val="13"/>
        </w:numPr>
        <w:rPr>
          <w:sz w:val="24"/>
          <w:szCs w:val="24"/>
        </w:rPr>
      </w:pPr>
      <w:r w:rsidRPr="00E4409C">
        <w:rPr>
          <w:b/>
          <w:sz w:val="24"/>
          <w:szCs w:val="24"/>
        </w:rPr>
        <w:t xml:space="preserve">Consumer Lending: </w:t>
      </w:r>
      <w:r w:rsidRPr="00E4409C">
        <w:rPr>
          <w:sz w:val="24"/>
          <w:szCs w:val="24"/>
        </w:rPr>
        <w:t xml:space="preserve">L + 1140 bps </w:t>
      </w:r>
      <w:r w:rsidRPr="00E4409C">
        <w:rPr>
          <w:sz w:val="24"/>
          <w:szCs w:val="24"/>
        </w:rPr>
        <w:sym w:font="Wingdings" w:char="F0E0"/>
      </w:r>
      <w:r w:rsidRPr="00E4409C">
        <w:rPr>
          <w:sz w:val="24"/>
          <w:szCs w:val="24"/>
        </w:rPr>
        <w:t xml:space="preserve"> Declines to L + 1000 bps by Year 5</w:t>
      </w:r>
    </w:p>
    <w:p w:rsidR="00B33FF2" w:rsidRDefault="00B33FF2" w:rsidP="00B33FF2">
      <w:pPr>
        <w:pStyle w:val="ListParagraph"/>
        <w:numPr>
          <w:ilvl w:val="0"/>
          <w:numId w:val="13"/>
        </w:numPr>
        <w:rPr>
          <w:sz w:val="24"/>
          <w:szCs w:val="24"/>
        </w:rPr>
      </w:pPr>
      <w:r>
        <w:rPr>
          <w:b/>
          <w:sz w:val="24"/>
          <w:szCs w:val="24"/>
        </w:rPr>
        <w:t>Average Interest Rate on Deposits:</w:t>
      </w:r>
      <w:r>
        <w:rPr>
          <w:sz w:val="24"/>
          <w:szCs w:val="24"/>
        </w:rPr>
        <w:t xml:space="preserve"> 2.6% </w:t>
      </w:r>
      <w:r w:rsidRPr="003E620C">
        <w:rPr>
          <w:sz w:val="24"/>
          <w:szCs w:val="24"/>
        </w:rPr>
        <w:sym w:font="Wingdings" w:char="F0E0"/>
      </w:r>
      <w:r>
        <w:rPr>
          <w:sz w:val="24"/>
          <w:szCs w:val="24"/>
        </w:rPr>
        <w:t xml:space="preserve"> Declines initially but then rises to 2.7%</w:t>
      </w:r>
    </w:p>
    <w:p w:rsidR="00B33FF2" w:rsidRDefault="00B33FF2" w:rsidP="00B33FF2">
      <w:pPr>
        <w:pStyle w:val="ListParagraph"/>
        <w:numPr>
          <w:ilvl w:val="0"/>
          <w:numId w:val="13"/>
        </w:numPr>
        <w:rPr>
          <w:sz w:val="24"/>
          <w:szCs w:val="24"/>
        </w:rPr>
      </w:pPr>
      <w:r>
        <w:rPr>
          <w:b/>
          <w:sz w:val="24"/>
          <w:szCs w:val="24"/>
        </w:rPr>
        <w:t>Average Interest Rate on All Interest-</w:t>
      </w:r>
      <w:r w:rsidRPr="003E620C">
        <w:rPr>
          <w:b/>
          <w:sz w:val="24"/>
          <w:szCs w:val="24"/>
        </w:rPr>
        <w:t>Bearing Liabilities:</w:t>
      </w:r>
      <w:r>
        <w:rPr>
          <w:sz w:val="24"/>
          <w:szCs w:val="24"/>
        </w:rPr>
        <w:t xml:space="preserve"> 2.7% </w:t>
      </w:r>
      <w:r w:rsidRPr="003E620C">
        <w:rPr>
          <w:sz w:val="24"/>
          <w:szCs w:val="24"/>
        </w:rPr>
        <w:sym w:font="Wingdings" w:char="F0E0"/>
      </w:r>
      <w:r>
        <w:rPr>
          <w:sz w:val="24"/>
          <w:szCs w:val="24"/>
        </w:rPr>
        <w:t xml:space="preserve"> Declines initially but then rises to 3.0% by Year 5</w:t>
      </w:r>
    </w:p>
    <w:p w:rsidR="00B33FF2" w:rsidRDefault="00B33FF2" w:rsidP="00B33FF2">
      <w:pPr>
        <w:rPr>
          <w:sz w:val="24"/>
          <w:szCs w:val="24"/>
        </w:rPr>
      </w:pPr>
      <w:r>
        <w:rPr>
          <w:sz w:val="24"/>
          <w:szCs w:val="24"/>
        </w:rPr>
        <w:t xml:space="preserve">With these assumptions factored in, the company’s implied share price falls by </w:t>
      </w:r>
      <w:r w:rsidRPr="00CA5030">
        <w:rPr>
          <w:sz w:val="24"/>
          <w:szCs w:val="24"/>
        </w:rPr>
        <w:t>£</w:t>
      </w:r>
      <w:r>
        <w:rPr>
          <w:sz w:val="24"/>
          <w:szCs w:val="24"/>
        </w:rPr>
        <w:t xml:space="preserve">0.30 to </w:t>
      </w:r>
      <w:r w:rsidRPr="00CA5030">
        <w:rPr>
          <w:sz w:val="24"/>
          <w:szCs w:val="24"/>
        </w:rPr>
        <w:t>£</w:t>
      </w:r>
      <w:r>
        <w:rPr>
          <w:sz w:val="24"/>
          <w:szCs w:val="24"/>
        </w:rPr>
        <w:t xml:space="preserve">0.40, representing a differential of </w:t>
      </w:r>
      <w:r>
        <w:rPr>
          <w:b/>
          <w:sz w:val="24"/>
          <w:szCs w:val="24"/>
        </w:rPr>
        <w:t>10-15%</w:t>
      </w:r>
      <w:r>
        <w:rPr>
          <w:sz w:val="24"/>
          <w:szCs w:val="24"/>
        </w:rPr>
        <w:t>.</w:t>
      </w:r>
    </w:p>
    <w:p w:rsidR="00B33FF2" w:rsidRDefault="00B33FF2" w:rsidP="00B01AEC">
      <w:pPr>
        <w:rPr>
          <w:sz w:val="24"/>
          <w:szCs w:val="24"/>
        </w:rPr>
      </w:pPr>
      <w:r>
        <w:rPr>
          <w:sz w:val="24"/>
          <w:szCs w:val="24"/>
        </w:rPr>
        <w:t>Most research analysts, by contrast, have predicted that spreads will stay about the same.</w:t>
      </w:r>
    </w:p>
    <w:p w:rsidR="00B33FF2" w:rsidRDefault="00B33FF2" w:rsidP="00B01AEC">
      <w:pPr>
        <w:rPr>
          <w:sz w:val="24"/>
          <w:szCs w:val="24"/>
        </w:rPr>
      </w:pPr>
      <w:r>
        <w:rPr>
          <w:sz w:val="24"/>
          <w:szCs w:val="24"/>
        </w:rPr>
        <w:t xml:space="preserve">For reasons mentioned in the section on Catalysts, we are reasonably confident that spreads will decline: Shawbrook charges more than its competitors, </w:t>
      </w:r>
      <w:r w:rsidR="0050488B">
        <w:rPr>
          <w:sz w:val="24"/>
          <w:szCs w:val="24"/>
        </w:rPr>
        <w:t xml:space="preserve">more and more lenders are entering </w:t>
      </w:r>
      <w:r>
        <w:rPr>
          <w:sz w:val="24"/>
          <w:szCs w:val="24"/>
        </w:rPr>
        <w:t xml:space="preserve">the market, and customers seem to be </w:t>
      </w:r>
      <w:r w:rsidR="008F0E9D">
        <w:rPr>
          <w:sz w:val="24"/>
          <w:szCs w:val="24"/>
        </w:rPr>
        <w:t>price-sensitive.</w:t>
      </w:r>
    </w:p>
    <w:p w:rsidR="0050488B" w:rsidRDefault="0050488B" w:rsidP="00B01AEC">
      <w:pPr>
        <w:rPr>
          <w:sz w:val="24"/>
          <w:szCs w:val="24"/>
        </w:rPr>
      </w:pPr>
      <w:r>
        <w:rPr>
          <w:sz w:val="24"/>
          <w:szCs w:val="24"/>
        </w:rPr>
        <w:t xml:space="preserve">On the funding cost side, we believe that LIBOR and overall rates will rise modestly over the next five years, which will increase Shawbrook’s cost of funding. Yes, 75% of its deposits are fixed-rate, but only 50% have terms of </w:t>
      </w:r>
      <w:r w:rsidR="008F0E9D">
        <w:rPr>
          <w:sz w:val="24"/>
          <w:szCs w:val="24"/>
        </w:rPr>
        <w:t xml:space="preserve">greater </w:t>
      </w:r>
      <w:r>
        <w:rPr>
          <w:sz w:val="24"/>
          <w:szCs w:val="24"/>
        </w:rPr>
        <w:t>than one year.</w:t>
      </w:r>
    </w:p>
    <w:p w:rsidR="00B33FF2" w:rsidRDefault="0050488B" w:rsidP="00B01AEC">
      <w:pPr>
        <w:rPr>
          <w:sz w:val="24"/>
          <w:szCs w:val="24"/>
        </w:rPr>
      </w:pPr>
      <w:r>
        <w:rPr>
          <w:sz w:val="24"/>
          <w:szCs w:val="24"/>
        </w:rPr>
        <w:t>If we’re wrong, we could hedge against this risk in several ways:</w:t>
      </w:r>
    </w:p>
    <w:p w:rsidR="0050488B" w:rsidRDefault="000B61CC" w:rsidP="0050488B">
      <w:pPr>
        <w:pStyle w:val="ListParagraph"/>
        <w:numPr>
          <w:ilvl w:val="0"/>
          <w:numId w:val="17"/>
        </w:numPr>
        <w:rPr>
          <w:sz w:val="24"/>
          <w:szCs w:val="24"/>
        </w:rPr>
      </w:pPr>
      <w:r w:rsidRPr="00510981">
        <w:rPr>
          <w:b/>
          <w:noProof/>
          <w:sz w:val="24"/>
          <w:szCs w:val="24"/>
        </w:rPr>
        <w:t>Purchase c</w:t>
      </w:r>
      <w:r w:rsidR="0050488B" w:rsidRPr="00510981">
        <w:rPr>
          <w:b/>
          <w:noProof/>
          <w:sz w:val="24"/>
          <w:szCs w:val="24"/>
        </w:rPr>
        <w:t>all</w:t>
      </w:r>
      <w:r w:rsidR="0050488B" w:rsidRPr="00041EB3">
        <w:rPr>
          <w:b/>
          <w:sz w:val="24"/>
          <w:szCs w:val="24"/>
        </w:rPr>
        <w:t xml:space="preserve"> options</w:t>
      </w:r>
      <w:r w:rsidR="0050488B">
        <w:rPr>
          <w:sz w:val="24"/>
          <w:szCs w:val="24"/>
        </w:rPr>
        <w:t xml:space="preserve"> with strike prices about 15% higher than Shawbrook’s current share price (</w:t>
      </w:r>
      <w:r w:rsidR="0050488B" w:rsidRPr="00257E86">
        <w:rPr>
          <w:sz w:val="24"/>
          <w:szCs w:val="24"/>
        </w:rPr>
        <w:t>£</w:t>
      </w:r>
      <w:r w:rsidR="0050488B">
        <w:rPr>
          <w:sz w:val="24"/>
          <w:szCs w:val="24"/>
        </w:rPr>
        <w:t xml:space="preserve">3.77 vs. </w:t>
      </w:r>
      <w:r w:rsidR="0050488B" w:rsidRPr="00257E86">
        <w:rPr>
          <w:sz w:val="24"/>
          <w:szCs w:val="24"/>
        </w:rPr>
        <w:t>£</w:t>
      </w:r>
      <w:r w:rsidR="0050488B">
        <w:rPr>
          <w:sz w:val="24"/>
          <w:szCs w:val="24"/>
        </w:rPr>
        <w:t>3.27).</w:t>
      </w:r>
    </w:p>
    <w:p w:rsidR="0050488B" w:rsidRDefault="0050488B" w:rsidP="0050488B">
      <w:pPr>
        <w:pStyle w:val="ListParagraph"/>
        <w:numPr>
          <w:ilvl w:val="0"/>
          <w:numId w:val="17"/>
        </w:numPr>
        <w:rPr>
          <w:sz w:val="24"/>
          <w:szCs w:val="24"/>
        </w:rPr>
      </w:pPr>
      <w:r>
        <w:rPr>
          <w:b/>
          <w:sz w:val="24"/>
          <w:szCs w:val="24"/>
        </w:rPr>
        <w:lastRenderedPageBreak/>
        <w:t>Set a buy-stop order</w:t>
      </w:r>
      <w:r>
        <w:rPr>
          <w:sz w:val="24"/>
          <w:szCs w:val="24"/>
        </w:rPr>
        <w:t xml:space="preserve"> on Shawbrook</w:t>
      </w:r>
      <w:r w:rsidR="000B61CC">
        <w:rPr>
          <w:sz w:val="24"/>
          <w:szCs w:val="24"/>
        </w:rPr>
        <w:t>’s shares</w:t>
      </w:r>
      <w:r>
        <w:rPr>
          <w:sz w:val="24"/>
          <w:szCs w:val="24"/>
        </w:rPr>
        <w:t xml:space="preserve"> in the same price range. If asset yields stay the same or move in the other direction, we could limit our losses to 15% if we begin buying shares at this level.</w:t>
      </w:r>
    </w:p>
    <w:p w:rsidR="0050488B" w:rsidRPr="001E4F0E" w:rsidRDefault="0050488B" w:rsidP="00B01AEC">
      <w:pPr>
        <w:pStyle w:val="ListParagraph"/>
        <w:numPr>
          <w:ilvl w:val="0"/>
          <w:numId w:val="17"/>
        </w:numPr>
        <w:rPr>
          <w:sz w:val="24"/>
          <w:szCs w:val="24"/>
        </w:rPr>
      </w:pPr>
      <w:r>
        <w:rPr>
          <w:b/>
          <w:sz w:val="24"/>
          <w:szCs w:val="24"/>
        </w:rPr>
        <w:t>Long a competitor that stands to benefit from decreased funding costs</w:t>
      </w:r>
      <w:r>
        <w:rPr>
          <w:sz w:val="24"/>
          <w:szCs w:val="24"/>
        </w:rPr>
        <w:t xml:space="preserve">. For example, Aldermore and OneSavings Bank both have Net Interest Margins that are between 3.0% and 4.0%, significantly lower than Shawbrook’s at ~6.0%. If funding costs </w:t>
      </w:r>
      <w:r w:rsidR="001E4F0E">
        <w:rPr>
          <w:sz w:val="24"/>
          <w:szCs w:val="24"/>
        </w:rPr>
        <w:t>decrease, these competitor</w:t>
      </w:r>
      <w:r w:rsidR="000B61CC">
        <w:rPr>
          <w:sz w:val="24"/>
          <w:szCs w:val="24"/>
        </w:rPr>
        <w:t xml:space="preserve">s </w:t>
      </w:r>
      <w:r w:rsidR="001E4F0E">
        <w:rPr>
          <w:sz w:val="24"/>
          <w:szCs w:val="24"/>
        </w:rPr>
        <w:t>could benefit substantially.</w:t>
      </w:r>
    </w:p>
    <w:p w:rsidR="00B01AEC" w:rsidRDefault="00E24278" w:rsidP="00B01AEC">
      <w:pPr>
        <w:rPr>
          <w:b/>
          <w:sz w:val="24"/>
          <w:szCs w:val="24"/>
        </w:rPr>
      </w:pPr>
      <w:r>
        <w:rPr>
          <w:b/>
          <w:sz w:val="24"/>
          <w:szCs w:val="24"/>
        </w:rPr>
        <w:t>The Worst-</w:t>
      </w:r>
      <w:r w:rsidR="00B01AEC" w:rsidRPr="00A92EF1">
        <w:rPr>
          <w:b/>
          <w:sz w:val="24"/>
          <w:szCs w:val="24"/>
        </w:rPr>
        <w:t>Case Scenario</w:t>
      </w:r>
    </w:p>
    <w:p w:rsidR="001E4F0E" w:rsidRDefault="001E4F0E" w:rsidP="00B01AEC">
      <w:pPr>
        <w:rPr>
          <w:sz w:val="24"/>
          <w:szCs w:val="24"/>
        </w:rPr>
      </w:pPr>
      <w:r>
        <w:rPr>
          <w:sz w:val="24"/>
          <w:szCs w:val="24"/>
        </w:rPr>
        <w:t xml:space="preserve">Another risk is that we could be wrong about everything above: perhaps mortgages will grow as fast or faster than expected, the BTL </w:t>
      </w:r>
      <w:r w:rsidR="000B61CC">
        <w:rPr>
          <w:sz w:val="24"/>
          <w:szCs w:val="24"/>
        </w:rPr>
        <w:t xml:space="preserve">mortgage </w:t>
      </w:r>
      <w:r>
        <w:rPr>
          <w:sz w:val="24"/>
          <w:szCs w:val="24"/>
        </w:rPr>
        <w:t xml:space="preserve">risk weightings will not change, the </w:t>
      </w:r>
      <w:r w:rsidRPr="00510981">
        <w:rPr>
          <w:noProof/>
          <w:sz w:val="24"/>
          <w:szCs w:val="24"/>
        </w:rPr>
        <w:t>loan interest</w:t>
      </w:r>
      <w:r>
        <w:rPr>
          <w:sz w:val="24"/>
          <w:szCs w:val="24"/>
        </w:rPr>
        <w:t xml:space="preserve"> spreads will stay the same, and the funding costs will decrease or stay the same.</w:t>
      </w:r>
    </w:p>
    <w:p w:rsidR="001E4F0E" w:rsidRDefault="001E4F0E" w:rsidP="00B01AEC">
      <w:pPr>
        <w:rPr>
          <w:sz w:val="24"/>
          <w:szCs w:val="24"/>
        </w:rPr>
      </w:pPr>
      <w:r>
        <w:rPr>
          <w:sz w:val="24"/>
          <w:szCs w:val="24"/>
        </w:rPr>
        <w:t xml:space="preserve">To examine this possibility, we used the Upside Case but kept all the LIBOR spreads on loans the same for five years and set the interest </w:t>
      </w:r>
      <w:r w:rsidR="000B61CC">
        <w:rPr>
          <w:sz w:val="24"/>
          <w:szCs w:val="24"/>
        </w:rPr>
        <w:t xml:space="preserve">rate </w:t>
      </w:r>
      <w:r>
        <w:rPr>
          <w:sz w:val="24"/>
          <w:szCs w:val="24"/>
        </w:rPr>
        <w:t>on fixed-rate deposits to 2.4%.</w:t>
      </w:r>
    </w:p>
    <w:p w:rsidR="001E4F0E" w:rsidRDefault="001E4F0E" w:rsidP="00B01AEC">
      <w:pPr>
        <w:rPr>
          <w:sz w:val="24"/>
          <w:szCs w:val="24"/>
        </w:rPr>
      </w:pPr>
      <w:r>
        <w:rPr>
          <w:sz w:val="24"/>
          <w:szCs w:val="24"/>
        </w:rPr>
        <w:t xml:space="preserve">The result was a significantly higher ROTCE in the five projected years, which ranged from 23% to 25%; if we reflect this much higher ROTCE </w:t>
      </w:r>
      <w:r w:rsidR="000B61CC">
        <w:rPr>
          <w:sz w:val="24"/>
          <w:szCs w:val="24"/>
        </w:rPr>
        <w:t xml:space="preserve">in </w:t>
      </w:r>
      <w:r w:rsidR="000B61CC">
        <w:rPr>
          <w:sz w:val="24"/>
          <w:szCs w:val="24"/>
        </w:rPr>
        <w:t>the DDM</w:t>
      </w:r>
      <w:r w:rsidR="000B61CC">
        <w:rPr>
          <w:sz w:val="24"/>
          <w:szCs w:val="24"/>
        </w:rPr>
        <w:t xml:space="preserve">, </w:t>
      </w:r>
      <w:r>
        <w:rPr>
          <w:sz w:val="24"/>
          <w:szCs w:val="24"/>
        </w:rPr>
        <w:t>but still make it decline to 14% by the end of the 15-year period, we get the following results:</w:t>
      </w:r>
    </w:p>
    <w:p w:rsidR="00F0380E" w:rsidRDefault="001E4F0E" w:rsidP="00F0380E">
      <w:pPr>
        <w:ind w:left="-1440"/>
        <w:rPr>
          <w:sz w:val="24"/>
          <w:szCs w:val="24"/>
        </w:rPr>
      </w:pPr>
      <w:r w:rsidRPr="001E4F0E">
        <w:rPr>
          <w:noProof/>
          <w:lang w:eastAsia="zh-CN"/>
        </w:rPr>
        <w:drawing>
          <wp:inline distT="0" distB="0" distL="0" distR="0" wp14:anchorId="2270BF7F" wp14:editId="5A6F2667">
            <wp:extent cx="7732166" cy="1358086"/>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791335" cy="1368478"/>
                    </a:xfrm>
                    <a:prstGeom prst="rect">
                      <a:avLst/>
                    </a:prstGeom>
                  </pic:spPr>
                </pic:pic>
              </a:graphicData>
            </a:graphic>
          </wp:inline>
        </w:drawing>
      </w:r>
    </w:p>
    <w:p w:rsidR="001E4F0E" w:rsidRDefault="001E4F0E" w:rsidP="00B01AEC">
      <w:pPr>
        <w:rPr>
          <w:sz w:val="24"/>
          <w:szCs w:val="24"/>
        </w:rPr>
      </w:pPr>
      <w:r>
        <w:rPr>
          <w:sz w:val="24"/>
          <w:szCs w:val="24"/>
        </w:rPr>
        <w:t xml:space="preserve">Therefore, if </w:t>
      </w:r>
      <w:r>
        <w:rPr>
          <w:i/>
          <w:sz w:val="24"/>
          <w:szCs w:val="24"/>
        </w:rPr>
        <w:t>everything</w:t>
      </w:r>
      <w:r>
        <w:rPr>
          <w:sz w:val="24"/>
          <w:szCs w:val="24"/>
        </w:rPr>
        <w:t xml:space="preserve"> in our recommendation goes wrong, the company might be </w:t>
      </w:r>
      <w:r>
        <w:rPr>
          <w:b/>
          <w:sz w:val="24"/>
          <w:szCs w:val="24"/>
        </w:rPr>
        <w:t>undervalued by 50%+</w:t>
      </w:r>
      <w:r>
        <w:rPr>
          <w:sz w:val="24"/>
          <w:szCs w:val="24"/>
        </w:rPr>
        <w:t>.</w:t>
      </w:r>
    </w:p>
    <w:p w:rsidR="001E4F0E" w:rsidRDefault="000B61CC" w:rsidP="00B01AEC">
      <w:pPr>
        <w:rPr>
          <w:sz w:val="24"/>
          <w:szCs w:val="24"/>
        </w:rPr>
      </w:pPr>
      <w:r>
        <w:rPr>
          <w:sz w:val="24"/>
          <w:szCs w:val="24"/>
        </w:rPr>
        <w:t>W</w:t>
      </w:r>
      <w:r w:rsidR="001E4F0E">
        <w:rPr>
          <w:sz w:val="24"/>
          <w:szCs w:val="24"/>
        </w:rPr>
        <w:t>e believe this outcome is extremely unlikely because channel checks and industry research point to declining yields and lower-than-expected loan growth.</w:t>
      </w:r>
    </w:p>
    <w:p w:rsidR="001E4F0E" w:rsidRDefault="0010378F" w:rsidP="00B01AEC">
      <w:pPr>
        <w:rPr>
          <w:sz w:val="24"/>
          <w:szCs w:val="24"/>
        </w:rPr>
      </w:pPr>
      <w:r>
        <w:rPr>
          <w:sz w:val="24"/>
          <w:szCs w:val="24"/>
        </w:rPr>
        <w:t>Since this is a short recommendation, our potential losses are unlimited</w:t>
      </w:r>
      <w:r w:rsidR="000B61CC">
        <w:rPr>
          <w:sz w:val="24"/>
          <w:szCs w:val="24"/>
        </w:rPr>
        <w:t xml:space="preserve">. </w:t>
      </w:r>
      <w:r>
        <w:rPr>
          <w:sz w:val="24"/>
          <w:szCs w:val="24"/>
        </w:rPr>
        <w:t>The only ways to hedge against this worst-case scenario include:</w:t>
      </w:r>
    </w:p>
    <w:p w:rsidR="0010378F" w:rsidRDefault="0010378F" w:rsidP="0010378F">
      <w:pPr>
        <w:pStyle w:val="ListParagraph"/>
        <w:numPr>
          <w:ilvl w:val="0"/>
          <w:numId w:val="18"/>
        </w:numPr>
        <w:rPr>
          <w:sz w:val="24"/>
          <w:szCs w:val="24"/>
        </w:rPr>
      </w:pPr>
      <w:r w:rsidRPr="00510981">
        <w:rPr>
          <w:b/>
          <w:noProof/>
          <w:sz w:val="24"/>
          <w:szCs w:val="24"/>
        </w:rPr>
        <w:lastRenderedPageBreak/>
        <w:t>Purchase</w:t>
      </w:r>
      <w:r>
        <w:rPr>
          <w:b/>
          <w:sz w:val="24"/>
          <w:szCs w:val="24"/>
        </w:rPr>
        <w:t xml:space="preserve"> Call Options or a Buy-Stop Order:</w:t>
      </w:r>
      <w:r>
        <w:rPr>
          <w:sz w:val="24"/>
          <w:szCs w:val="24"/>
        </w:rPr>
        <w:t xml:space="preserve"> Given the 30-50% in potential gains, we would not accept more than a 20% loss and we would set the strike price </w:t>
      </w:r>
      <w:r w:rsidR="000B61CC">
        <w:rPr>
          <w:sz w:val="24"/>
          <w:szCs w:val="24"/>
        </w:rPr>
        <w:t xml:space="preserve">of </w:t>
      </w:r>
      <w:r w:rsidR="000B61CC">
        <w:rPr>
          <w:sz w:val="24"/>
          <w:szCs w:val="24"/>
        </w:rPr>
        <w:t xml:space="preserve">these options </w:t>
      </w:r>
      <w:r>
        <w:rPr>
          <w:sz w:val="24"/>
          <w:szCs w:val="24"/>
        </w:rPr>
        <w:t xml:space="preserve">or </w:t>
      </w:r>
      <w:r w:rsidR="000B61CC">
        <w:rPr>
          <w:sz w:val="24"/>
          <w:szCs w:val="24"/>
        </w:rPr>
        <w:t xml:space="preserve">the </w:t>
      </w:r>
      <w:r>
        <w:rPr>
          <w:sz w:val="24"/>
          <w:szCs w:val="24"/>
        </w:rPr>
        <w:t xml:space="preserve">price of </w:t>
      </w:r>
      <w:r w:rsidR="000B61CC">
        <w:rPr>
          <w:sz w:val="24"/>
          <w:szCs w:val="24"/>
        </w:rPr>
        <w:t xml:space="preserve">the buy-stop order </w:t>
      </w:r>
      <w:r>
        <w:rPr>
          <w:sz w:val="24"/>
          <w:szCs w:val="24"/>
        </w:rPr>
        <w:t>in that range.</w:t>
      </w:r>
    </w:p>
    <w:p w:rsidR="0010378F" w:rsidRPr="0010378F" w:rsidRDefault="0010378F" w:rsidP="00B01AEC">
      <w:pPr>
        <w:pStyle w:val="ListParagraph"/>
        <w:numPr>
          <w:ilvl w:val="0"/>
          <w:numId w:val="18"/>
        </w:numPr>
        <w:rPr>
          <w:sz w:val="24"/>
          <w:szCs w:val="24"/>
        </w:rPr>
      </w:pPr>
      <w:r w:rsidRPr="00510981">
        <w:rPr>
          <w:b/>
          <w:noProof/>
          <w:sz w:val="24"/>
          <w:szCs w:val="24"/>
        </w:rPr>
        <w:t>Long the Sector or Specific Competitor Banks:</w:t>
      </w:r>
      <w:r w:rsidRPr="00510981">
        <w:rPr>
          <w:noProof/>
          <w:sz w:val="24"/>
          <w:szCs w:val="24"/>
        </w:rPr>
        <w:t xml:space="preserve"> Depending on the risk factor we believe is most credible, we might long either the entire sector (e.g., if we’re completely wrong on the GDP growth or commercial mortgage estimates) or specific banks that would benefit the most from asset yields or funding costs m</w:t>
      </w:r>
      <w:r w:rsidR="00CA2D7A" w:rsidRPr="00510981">
        <w:rPr>
          <w:noProof/>
          <w:sz w:val="24"/>
          <w:szCs w:val="24"/>
        </w:rPr>
        <w:t>oving in the opposite direction of what we expect.</w:t>
      </w:r>
    </w:p>
    <w:p w:rsidR="0010378F" w:rsidRPr="009D73EF" w:rsidRDefault="0010378F" w:rsidP="0010378F">
      <w:pPr>
        <w:rPr>
          <w:sz w:val="24"/>
          <w:szCs w:val="24"/>
        </w:rPr>
      </w:pPr>
      <w:r>
        <w:rPr>
          <w:sz w:val="24"/>
          <w:szCs w:val="24"/>
        </w:rPr>
        <w:t>We would need to conduct additional research to highlight the best candidate(s) for hedging purposes, but we might start the process with those ideas.</w:t>
      </w:r>
    </w:p>
    <w:p w:rsidR="00472F9A" w:rsidRPr="00472F9A" w:rsidRDefault="00CA70EF" w:rsidP="003F2FF7">
      <w:pPr>
        <w:rPr>
          <w:sz w:val="24"/>
          <w:szCs w:val="24"/>
        </w:rPr>
      </w:pPr>
      <w:hyperlink w:anchor="Top" w:history="1">
        <w:r w:rsidR="00472F9A" w:rsidRPr="00EA1047">
          <w:rPr>
            <w:rStyle w:val="Hyperlink"/>
            <w:sz w:val="24"/>
            <w:szCs w:val="24"/>
          </w:rPr>
          <w:t>Return to Top</w:t>
        </w:r>
      </w:hyperlink>
      <w:r w:rsidR="00472F9A">
        <w:rPr>
          <w:sz w:val="24"/>
          <w:szCs w:val="24"/>
        </w:rPr>
        <w:t>.</w:t>
      </w:r>
      <w:bookmarkStart w:id="12" w:name="_GoBack"/>
      <w:bookmarkEnd w:id="12"/>
    </w:p>
    <w:sectPr w:rsidR="00472F9A" w:rsidRPr="00472F9A" w:rsidSect="00C751CF">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F11" w:rsidRDefault="00814F11" w:rsidP="0056796A">
      <w:pPr>
        <w:spacing w:after="0" w:line="240" w:lineRule="auto"/>
      </w:pPr>
      <w:r>
        <w:separator/>
      </w:r>
    </w:p>
  </w:endnote>
  <w:endnote w:type="continuationSeparator" w:id="0">
    <w:p w:rsidR="00814F11" w:rsidRDefault="00814F11" w:rsidP="00567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0EF" w:rsidRDefault="00CA70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0EF" w:rsidRDefault="00CA70EF" w:rsidP="00957B3E">
    <w:pPr>
      <w:pStyle w:val="Footer"/>
    </w:pPr>
    <w:r>
      <w:t>http://breakingintowallstreet.com</w:t>
    </w:r>
  </w:p>
  <w:p w:rsidR="00CA70EF" w:rsidRDefault="00CA70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0EF" w:rsidRDefault="00CA70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F11" w:rsidRDefault="00814F11" w:rsidP="0056796A">
      <w:pPr>
        <w:spacing w:after="0" w:line="240" w:lineRule="auto"/>
      </w:pPr>
      <w:r>
        <w:separator/>
      </w:r>
    </w:p>
  </w:footnote>
  <w:footnote w:type="continuationSeparator" w:id="0">
    <w:p w:rsidR="00814F11" w:rsidRDefault="00814F11" w:rsidP="00567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0EF" w:rsidRDefault="00CA70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0EF" w:rsidRDefault="00CA70EF" w:rsidP="004F71A0">
    <w:pPr>
      <w:pStyle w:val="Header"/>
    </w:pPr>
    <w:r>
      <w:rPr>
        <w:noProof/>
        <w:lang w:eastAsia="zh-CN"/>
      </w:rPr>
      <w:drawing>
        <wp:anchor distT="0" distB="0" distL="114300" distR="114300" simplePos="0" relativeHeight="251658240" behindDoc="1" locked="0" layoutInCell="1" allowOverlap="1" wp14:anchorId="236ED998" wp14:editId="6E9E60A0">
          <wp:simplePos x="0" y="0"/>
          <wp:positionH relativeFrom="column">
            <wp:posOffset>2312836</wp:posOffset>
          </wp:positionH>
          <wp:positionV relativeFrom="paragraph">
            <wp:posOffset>130755</wp:posOffset>
          </wp:positionV>
          <wp:extent cx="3566160" cy="560070"/>
          <wp:effectExtent l="0" t="0" r="0" b="0"/>
          <wp:wrapTight wrapText="bothSides">
            <wp:wrapPolygon edited="0">
              <wp:start x="0" y="0"/>
              <wp:lineTo x="0" y="20571"/>
              <wp:lineTo x="21462" y="20571"/>
              <wp:lineTo x="21462" y="0"/>
              <wp:lineTo x="0" y="0"/>
            </wp:wrapPolygon>
          </wp:wrapTight>
          <wp:docPr id="82" name="Picture 9" descr="Shawbrook Bank"/>
          <wp:cNvGraphicFramePr/>
          <a:graphic xmlns:a="http://schemas.openxmlformats.org/drawingml/2006/main">
            <a:graphicData uri="http://schemas.openxmlformats.org/drawingml/2006/picture">
              <pic:pic xmlns:pic="http://schemas.openxmlformats.org/drawingml/2006/picture">
                <pic:nvPicPr>
                  <pic:cNvPr id="10" name="Picture 9" descr="Shawbrook Bank"/>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6160" cy="560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inline distT="0" distB="0" distL="0" distR="0" wp14:anchorId="34469A10" wp14:editId="139125F7">
          <wp:extent cx="1726565" cy="934720"/>
          <wp:effectExtent l="0" t="0" r="6985" b="0"/>
          <wp:docPr id="83" name="Picture 83" descr="biw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ws-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6565" cy="934720"/>
                  </a:xfrm>
                  <a:prstGeom prst="rect">
                    <a:avLst/>
                  </a:prstGeom>
                  <a:noFill/>
                  <a:ln>
                    <a:noFill/>
                  </a:ln>
                </pic:spPr>
              </pic:pic>
            </a:graphicData>
          </a:graphic>
        </wp:inline>
      </w:drawing>
    </w:r>
    <w:r>
      <w:rPr>
        <w:noProof/>
      </w:rPr>
      <w:tab/>
    </w:r>
    <w:r>
      <w:rPr>
        <w:noProo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0EF" w:rsidRDefault="00CA70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5E8B"/>
    <w:multiLevelType w:val="hybridMultilevel"/>
    <w:tmpl w:val="87BE0E36"/>
    <w:lvl w:ilvl="0" w:tplc="6A6E734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CA1496"/>
    <w:multiLevelType w:val="hybridMultilevel"/>
    <w:tmpl w:val="D6AE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86703"/>
    <w:multiLevelType w:val="hybridMultilevel"/>
    <w:tmpl w:val="71C64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632907"/>
    <w:multiLevelType w:val="hybridMultilevel"/>
    <w:tmpl w:val="B000A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86311A"/>
    <w:multiLevelType w:val="hybridMultilevel"/>
    <w:tmpl w:val="AF8E5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56C27"/>
    <w:multiLevelType w:val="hybridMultilevel"/>
    <w:tmpl w:val="F2544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6633D0"/>
    <w:multiLevelType w:val="hybridMultilevel"/>
    <w:tmpl w:val="F0A47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CF2C11"/>
    <w:multiLevelType w:val="hybridMultilevel"/>
    <w:tmpl w:val="705E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176F8F"/>
    <w:multiLevelType w:val="hybridMultilevel"/>
    <w:tmpl w:val="08FAA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C0079E"/>
    <w:multiLevelType w:val="hybridMultilevel"/>
    <w:tmpl w:val="BA48F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6D3AE7"/>
    <w:multiLevelType w:val="hybridMultilevel"/>
    <w:tmpl w:val="05DE6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532F14"/>
    <w:multiLevelType w:val="hybridMultilevel"/>
    <w:tmpl w:val="B0E4B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BD2D2E"/>
    <w:multiLevelType w:val="hybridMultilevel"/>
    <w:tmpl w:val="401A8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E4457D"/>
    <w:multiLevelType w:val="hybridMultilevel"/>
    <w:tmpl w:val="FD509C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436CCD"/>
    <w:multiLevelType w:val="hybridMultilevel"/>
    <w:tmpl w:val="A4FA92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67254D"/>
    <w:multiLevelType w:val="hybridMultilevel"/>
    <w:tmpl w:val="46C0B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170CA8"/>
    <w:multiLevelType w:val="hybridMultilevel"/>
    <w:tmpl w:val="072ED9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FA6C89"/>
    <w:multiLevelType w:val="hybridMultilevel"/>
    <w:tmpl w:val="44062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2"/>
  </w:num>
  <w:num w:numId="4">
    <w:abstractNumId w:val="10"/>
  </w:num>
  <w:num w:numId="5">
    <w:abstractNumId w:val="6"/>
  </w:num>
  <w:num w:numId="6">
    <w:abstractNumId w:val="5"/>
  </w:num>
  <w:num w:numId="7">
    <w:abstractNumId w:val="14"/>
  </w:num>
  <w:num w:numId="8">
    <w:abstractNumId w:val="17"/>
  </w:num>
  <w:num w:numId="9">
    <w:abstractNumId w:val="9"/>
  </w:num>
  <w:num w:numId="10">
    <w:abstractNumId w:val="1"/>
  </w:num>
  <w:num w:numId="11">
    <w:abstractNumId w:val="8"/>
  </w:num>
  <w:num w:numId="12">
    <w:abstractNumId w:val="3"/>
  </w:num>
  <w:num w:numId="13">
    <w:abstractNumId w:val="12"/>
  </w:num>
  <w:num w:numId="14">
    <w:abstractNumId w:val="4"/>
  </w:num>
  <w:num w:numId="15">
    <w:abstractNumId w:val="16"/>
  </w:num>
  <w:num w:numId="16">
    <w:abstractNumId w:val="13"/>
  </w:num>
  <w:num w:numId="17">
    <w:abstractNumId w:val="11"/>
  </w:num>
  <w:num w:numId="18">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G1MDQzNDQGkpbGZko6SsGpxcWZ+XkgBSa1AKHfPIUsAAAA"/>
  </w:docVars>
  <w:rsids>
    <w:rsidRoot w:val="008634A7"/>
    <w:rsid w:val="00002A19"/>
    <w:rsid w:val="0000312C"/>
    <w:rsid w:val="00004401"/>
    <w:rsid w:val="00006F25"/>
    <w:rsid w:val="000170A8"/>
    <w:rsid w:val="0001763F"/>
    <w:rsid w:val="0002003A"/>
    <w:rsid w:val="00021A81"/>
    <w:rsid w:val="00022AEB"/>
    <w:rsid w:val="00025AF6"/>
    <w:rsid w:val="000279D5"/>
    <w:rsid w:val="0003086C"/>
    <w:rsid w:val="00037836"/>
    <w:rsid w:val="00040C40"/>
    <w:rsid w:val="00041B94"/>
    <w:rsid w:val="00041EB3"/>
    <w:rsid w:val="00042499"/>
    <w:rsid w:val="000427BE"/>
    <w:rsid w:val="000527E4"/>
    <w:rsid w:val="00053CE7"/>
    <w:rsid w:val="00054293"/>
    <w:rsid w:val="000564C2"/>
    <w:rsid w:val="00062467"/>
    <w:rsid w:val="00063808"/>
    <w:rsid w:val="000643A0"/>
    <w:rsid w:val="00066C2D"/>
    <w:rsid w:val="0006733C"/>
    <w:rsid w:val="00074BA3"/>
    <w:rsid w:val="000779C8"/>
    <w:rsid w:val="00082757"/>
    <w:rsid w:val="00082B2E"/>
    <w:rsid w:val="0008303C"/>
    <w:rsid w:val="00084C59"/>
    <w:rsid w:val="00091A59"/>
    <w:rsid w:val="00091C86"/>
    <w:rsid w:val="000969C9"/>
    <w:rsid w:val="000A21F6"/>
    <w:rsid w:val="000A2984"/>
    <w:rsid w:val="000A5317"/>
    <w:rsid w:val="000A68E8"/>
    <w:rsid w:val="000A6DB0"/>
    <w:rsid w:val="000B2518"/>
    <w:rsid w:val="000B375A"/>
    <w:rsid w:val="000B61CC"/>
    <w:rsid w:val="000C2491"/>
    <w:rsid w:val="000D46BE"/>
    <w:rsid w:val="000D5F1E"/>
    <w:rsid w:val="000F3C16"/>
    <w:rsid w:val="00101F9C"/>
    <w:rsid w:val="0010378F"/>
    <w:rsid w:val="00104583"/>
    <w:rsid w:val="00106E0F"/>
    <w:rsid w:val="00114BDE"/>
    <w:rsid w:val="00120B53"/>
    <w:rsid w:val="00120DF2"/>
    <w:rsid w:val="001226C2"/>
    <w:rsid w:val="00124EFB"/>
    <w:rsid w:val="00135CF7"/>
    <w:rsid w:val="001362A5"/>
    <w:rsid w:val="0013632C"/>
    <w:rsid w:val="001402C9"/>
    <w:rsid w:val="00141684"/>
    <w:rsid w:val="00142897"/>
    <w:rsid w:val="00144C07"/>
    <w:rsid w:val="001572D0"/>
    <w:rsid w:val="001605B6"/>
    <w:rsid w:val="001638B4"/>
    <w:rsid w:val="001678CE"/>
    <w:rsid w:val="00167A57"/>
    <w:rsid w:val="00171EC6"/>
    <w:rsid w:val="00172764"/>
    <w:rsid w:val="00172D34"/>
    <w:rsid w:val="001745C1"/>
    <w:rsid w:val="00183A64"/>
    <w:rsid w:val="00184A43"/>
    <w:rsid w:val="00185349"/>
    <w:rsid w:val="00186AA6"/>
    <w:rsid w:val="00190C8F"/>
    <w:rsid w:val="001914D1"/>
    <w:rsid w:val="001930BD"/>
    <w:rsid w:val="001945E3"/>
    <w:rsid w:val="001A06E7"/>
    <w:rsid w:val="001A1D5F"/>
    <w:rsid w:val="001A463E"/>
    <w:rsid w:val="001A5D8A"/>
    <w:rsid w:val="001B6871"/>
    <w:rsid w:val="001C0AB8"/>
    <w:rsid w:val="001C662D"/>
    <w:rsid w:val="001D0E4E"/>
    <w:rsid w:val="001D4E6C"/>
    <w:rsid w:val="001D6B9E"/>
    <w:rsid w:val="001D79C4"/>
    <w:rsid w:val="001E4F0E"/>
    <w:rsid w:val="001E5B2E"/>
    <w:rsid w:val="001F0065"/>
    <w:rsid w:val="001F2301"/>
    <w:rsid w:val="001F2906"/>
    <w:rsid w:val="001F424F"/>
    <w:rsid w:val="001F4F8C"/>
    <w:rsid w:val="0020644B"/>
    <w:rsid w:val="00211A27"/>
    <w:rsid w:val="00212721"/>
    <w:rsid w:val="00224DAF"/>
    <w:rsid w:val="0023004F"/>
    <w:rsid w:val="00230960"/>
    <w:rsid w:val="00241C1B"/>
    <w:rsid w:val="00243E64"/>
    <w:rsid w:val="00244D4D"/>
    <w:rsid w:val="00245ADD"/>
    <w:rsid w:val="002548EA"/>
    <w:rsid w:val="002561CA"/>
    <w:rsid w:val="00256730"/>
    <w:rsid w:val="00257E86"/>
    <w:rsid w:val="002620C6"/>
    <w:rsid w:val="00262614"/>
    <w:rsid w:val="00262D53"/>
    <w:rsid w:val="00263328"/>
    <w:rsid w:val="00272515"/>
    <w:rsid w:val="002749EF"/>
    <w:rsid w:val="00275A2F"/>
    <w:rsid w:val="00277A97"/>
    <w:rsid w:val="00287B03"/>
    <w:rsid w:val="002960EC"/>
    <w:rsid w:val="002A53CA"/>
    <w:rsid w:val="002B18C3"/>
    <w:rsid w:val="002B1CD7"/>
    <w:rsid w:val="002B3372"/>
    <w:rsid w:val="002B5F0E"/>
    <w:rsid w:val="002C0D5A"/>
    <w:rsid w:val="002C21A1"/>
    <w:rsid w:val="002D3261"/>
    <w:rsid w:val="002D3B50"/>
    <w:rsid w:val="002D6F6C"/>
    <w:rsid w:val="002F2381"/>
    <w:rsid w:val="002F7746"/>
    <w:rsid w:val="00305979"/>
    <w:rsid w:val="003136DD"/>
    <w:rsid w:val="00313BDB"/>
    <w:rsid w:val="00315478"/>
    <w:rsid w:val="003156C9"/>
    <w:rsid w:val="003174C8"/>
    <w:rsid w:val="00321E57"/>
    <w:rsid w:val="00325498"/>
    <w:rsid w:val="00325A08"/>
    <w:rsid w:val="00333430"/>
    <w:rsid w:val="003406C0"/>
    <w:rsid w:val="00346DE3"/>
    <w:rsid w:val="00356C4B"/>
    <w:rsid w:val="00361259"/>
    <w:rsid w:val="00364971"/>
    <w:rsid w:val="00371BE5"/>
    <w:rsid w:val="003766B0"/>
    <w:rsid w:val="00381932"/>
    <w:rsid w:val="00383AFF"/>
    <w:rsid w:val="0038685E"/>
    <w:rsid w:val="00390F90"/>
    <w:rsid w:val="003947B4"/>
    <w:rsid w:val="003A2F31"/>
    <w:rsid w:val="003A599F"/>
    <w:rsid w:val="003B254A"/>
    <w:rsid w:val="003B4EC2"/>
    <w:rsid w:val="003B5D9B"/>
    <w:rsid w:val="003B66D1"/>
    <w:rsid w:val="003B7814"/>
    <w:rsid w:val="003C1B57"/>
    <w:rsid w:val="003C4610"/>
    <w:rsid w:val="003C534E"/>
    <w:rsid w:val="003C5CA3"/>
    <w:rsid w:val="003C7F6E"/>
    <w:rsid w:val="003D3234"/>
    <w:rsid w:val="003E07E9"/>
    <w:rsid w:val="003E620C"/>
    <w:rsid w:val="003E6C02"/>
    <w:rsid w:val="003F0A93"/>
    <w:rsid w:val="003F2FF7"/>
    <w:rsid w:val="003F7F45"/>
    <w:rsid w:val="00400DEC"/>
    <w:rsid w:val="004012B2"/>
    <w:rsid w:val="0040746E"/>
    <w:rsid w:val="00415BEC"/>
    <w:rsid w:val="0041788C"/>
    <w:rsid w:val="00420F6A"/>
    <w:rsid w:val="00422E18"/>
    <w:rsid w:val="00431646"/>
    <w:rsid w:val="0043409D"/>
    <w:rsid w:val="00437041"/>
    <w:rsid w:val="00442798"/>
    <w:rsid w:val="00443A98"/>
    <w:rsid w:val="00446D4E"/>
    <w:rsid w:val="00451FBA"/>
    <w:rsid w:val="00452055"/>
    <w:rsid w:val="00453C11"/>
    <w:rsid w:val="00453D6F"/>
    <w:rsid w:val="0046042B"/>
    <w:rsid w:val="00461D72"/>
    <w:rsid w:val="00463D88"/>
    <w:rsid w:val="00471D3B"/>
    <w:rsid w:val="00472F9A"/>
    <w:rsid w:val="00476578"/>
    <w:rsid w:val="00477593"/>
    <w:rsid w:val="0048063D"/>
    <w:rsid w:val="0048124F"/>
    <w:rsid w:val="00483D08"/>
    <w:rsid w:val="00483E6B"/>
    <w:rsid w:val="00486698"/>
    <w:rsid w:val="00495428"/>
    <w:rsid w:val="00495825"/>
    <w:rsid w:val="004A0221"/>
    <w:rsid w:val="004A6727"/>
    <w:rsid w:val="004A717D"/>
    <w:rsid w:val="004B13AA"/>
    <w:rsid w:val="004B29E6"/>
    <w:rsid w:val="004B760E"/>
    <w:rsid w:val="004C0720"/>
    <w:rsid w:val="004C0C46"/>
    <w:rsid w:val="004C29A5"/>
    <w:rsid w:val="004C348E"/>
    <w:rsid w:val="004C3E59"/>
    <w:rsid w:val="004D58C1"/>
    <w:rsid w:val="004D6AAE"/>
    <w:rsid w:val="004D7494"/>
    <w:rsid w:val="004E1C43"/>
    <w:rsid w:val="004E281F"/>
    <w:rsid w:val="004E3953"/>
    <w:rsid w:val="004E4A9A"/>
    <w:rsid w:val="004E7815"/>
    <w:rsid w:val="004F054D"/>
    <w:rsid w:val="004F3450"/>
    <w:rsid w:val="004F61A1"/>
    <w:rsid w:val="004F71A0"/>
    <w:rsid w:val="00500016"/>
    <w:rsid w:val="0050488B"/>
    <w:rsid w:val="00510981"/>
    <w:rsid w:val="00516241"/>
    <w:rsid w:val="00524657"/>
    <w:rsid w:val="00525AE5"/>
    <w:rsid w:val="00525DB9"/>
    <w:rsid w:val="005314FF"/>
    <w:rsid w:val="00533D9D"/>
    <w:rsid w:val="0053461E"/>
    <w:rsid w:val="00542D07"/>
    <w:rsid w:val="005458A3"/>
    <w:rsid w:val="00546466"/>
    <w:rsid w:val="00546E04"/>
    <w:rsid w:val="00555F2E"/>
    <w:rsid w:val="005657BC"/>
    <w:rsid w:val="005674A4"/>
    <w:rsid w:val="0056796A"/>
    <w:rsid w:val="00570984"/>
    <w:rsid w:val="00572D62"/>
    <w:rsid w:val="00572DC1"/>
    <w:rsid w:val="0058104E"/>
    <w:rsid w:val="005817ED"/>
    <w:rsid w:val="00582762"/>
    <w:rsid w:val="005834C5"/>
    <w:rsid w:val="00590420"/>
    <w:rsid w:val="005925CA"/>
    <w:rsid w:val="00592F09"/>
    <w:rsid w:val="005A0CE5"/>
    <w:rsid w:val="005B1306"/>
    <w:rsid w:val="005B29E3"/>
    <w:rsid w:val="005B60B9"/>
    <w:rsid w:val="005C2287"/>
    <w:rsid w:val="005E0298"/>
    <w:rsid w:val="005E5B95"/>
    <w:rsid w:val="005E7480"/>
    <w:rsid w:val="005F2A7C"/>
    <w:rsid w:val="005F4AE3"/>
    <w:rsid w:val="005F4AE9"/>
    <w:rsid w:val="005F4CC9"/>
    <w:rsid w:val="00601812"/>
    <w:rsid w:val="00602449"/>
    <w:rsid w:val="0061076F"/>
    <w:rsid w:val="0061288C"/>
    <w:rsid w:val="00613094"/>
    <w:rsid w:val="00624481"/>
    <w:rsid w:val="00624530"/>
    <w:rsid w:val="00624E93"/>
    <w:rsid w:val="00627712"/>
    <w:rsid w:val="00633BFA"/>
    <w:rsid w:val="00637FDB"/>
    <w:rsid w:val="00640087"/>
    <w:rsid w:val="00641DC3"/>
    <w:rsid w:val="0064350C"/>
    <w:rsid w:val="00646EE0"/>
    <w:rsid w:val="00646F69"/>
    <w:rsid w:val="00652C2F"/>
    <w:rsid w:val="006530FF"/>
    <w:rsid w:val="0065405D"/>
    <w:rsid w:val="00660ACD"/>
    <w:rsid w:val="0066406F"/>
    <w:rsid w:val="0066596B"/>
    <w:rsid w:val="00665C06"/>
    <w:rsid w:val="00666748"/>
    <w:rsid w:val="006702DC"/>
    <w:rsid w:val="00681A70"/>
    <w:rsid w:val="006924BC"/>
    <w:rsid w:val="00692D45"/>
    <w:rsid w:val="00693FF3"/>
    <w:rsid w:val="006A1761"/>
    <w:rsid w:val="006A2E92"/>
    <w:rsid w:val="006B45A7"/>
    <w:rsid w:val="006C0DCD"/>
    <w:rsid w:val="006C7ACA"/>
    <w:rsid w:val="006D006C"/>
    <w:rsid w:val="006D0CE7"/>
    <w:rsid w:val="006D2B51"/>
    <w:rsid w:val="006E4D41"/>
    <w:rsid w:val="006E5416"/>
    <w:rsid w:val="006F2C79"/>
    <w:rsid w:val="006F6EAA"/>
    <w:rsid w:val="006F7A10"/>
    <w:rsid w:val="00704067"/>
    <w:rsid w:val="00705F5C"/>
    <w:rsid w:val="00706E67"/>
    <w:rsid w:val="00711776"/>
    <w:rsid w:val="007157EB"/>
    <w:rsid w:val="0071741E"/>
    <w:rsid w:val="00723999"/>
    <w:rsid w:val="00723B09"/>
    <w:rsid w:val="00733449"/>
    <w:rsid w:val="00733617"/>
    <w:rsid w:val="007454B4"/>
    <w:rsid w:val="00746824"/>
    <w:rsid w:val="00747CE9"/>
    <w:rsid w:val="00752553"/>
    <w:rsid w:val="0075341E"/>
    <w:rsid w:val="00754CE8"/>
    <w:rsid w:val="007568BD"/>
    <w:rsid w:val="0076112B"/>
    <w:rsid w:val="007622B9"/>
    <w:rsid w:val="00764D2B"/>
    <w:rsid w:val="0077241C"/>
    <w:rsid w:val="007735C1"/>
    <w:rsid w:val="00774F89"/>
    <w:rsid w:val="00776653"/>
    <w:rsid w:val="0078024E"/>
    <w:rsid w:val="00782B21"/>
    <w:rsid w:val="00782CD5"/>
    <w:rsid w:val="00784A3E"/>
    <w:rsid w:val="00792821"/>
    <w:rsid w:val="007928FC"/>
    <w:rsid w:val="007A02C8"/>
    <w:rsid w:val="007A0D85"/>
    <w:rsid w:val="007A35B7"/>
    <w:rsid w:val="007A3BB4"/>
    <w:rsid w:val="007A6EAA"/>
    <w:rsid w:val="007B2C84"/>
    <w:rsid w:val="007B3825"/>
    <w:rsid w:val="007B46D1"/>
    <w:rsid w:val="007B585C"/>
    <w:rsid w:val="007C34E1"/>
    <w:rsid w:val="007C53CF"/>
    <w:rsid w:val="007C62BA"/>
    <w:rsid w:val="007D08AD"/>
    <w:rsid w:val="007F02D0"/>
    <w:rsid w:val="007F06BA"/>
    <w:rsid w:val="007F4DCC"/>
    <w:rsid w:val="00807E89"/>
    <w:rsid w:val="00810101"/>
    <w:rsid w:val="00814F11"/>
    <w:rsid w:val="0083141C"/>
    <w:rsid w:val="0083788B"/>
    <w:rsid w:val="00846C4D"/>
    <w:rsid w:val="00846C5B"/>
    <w:rsid w:val="008472FC"/>
    <w:rsid w:val="00851485"/>
    <w:rsid w:val="00851A93"/>
    <w:rsid w:val="00860F8A"/>
    <w:rsid w:val="008613E0"/>
    <w:rsid w:val="008634A7"/>
    <w:rsid w:val="00870F5E"/>
    <w:rsid w:val="00871F07"/>
    <w:rsid w:val="00873A03"/>
    <w:rsid w:val="00875875"/>
    <w:rsid w:val="00885695"/>
    <w:rsid w:val="00887312"/>
    <w:rsid w:val="00894591"/>
    <w:rsid w:val="008A2777"/>
    <w:rsid w:val="008B74E2"/>
    <w:rsid w:val="008C41FC"/>
    <w:rsid w:val="008C4876"/>
    <w:rsid w:val="008C6E7C"/>
    <w:rsid w:val="008D1A35"/>
    <w:rsid w:val="008D2C82"/>
    <w:rsid w:val="008D322B"/>
    <w:rsid w:val="008E41DC"/>
    <w:rsid w:val="008E595E"/>
    <w:rsid w:val="008E5FA4"/>
    <w:rsid w:val="008F06AB"/>
    <w:rsid w:val="008F06F3"/>
    <w:rsid w:val="008F0E9D"/>
    <w:rsid w:val="008F7CFA"/>
    <w:rsid w:val="00900192"/>
    <w:rsid w:val="00901E68"/>
    <w:rsid w:val="00911DFD"/>
    <w:rsid w:val="00916483"/>
    <w:rsid w:val="009224F3"/>
    <w:rsid w:val="009269A6"/>
    <w:rsid w:val="00933603"/>
    <w:rsid w:val="009370F2"/>
    <w:rsid w:val="00940C95"/>
    <w:rsid w:val="00941CD6"/>
    <w:rsid w:val="00942F4E"/>
    <w:rsid w:val="00943962"/>
    <w:rsid w:val="00945C5F"/>
    <w:rsid w:val="009465A4"/>
    <w:rsid w:val="009477AD"/>
    <w:rsid w:val="00951904"/>
    <w:rsid w:val="0095368C"/>
    <w:rsid w:val="00957B3E"/>
    <w:rsid w:val="00963F69"/>
    <w:rsid w:val="00965A69"/>
    <w:rsid w:val="00967F4F"/>
    <w:rsid w:val="00973795"/>
    <w:rsid w:val="00976350"/>
    <w:rsid w:val="00977DB2"/>
    <w:rsid w:val="00980393"/>
    <w:rsid w:val="00986A78"/>
    <w:rsid w:val="00993650"/>
    <w:rsid w:val="00997AF6"/>
    <w:rsid w:val="009A0F9C"/>
    <w:rsid w:val="009A23C5"/>
    <w:rsid w:val="009B1155"/>
    <w:rsid w:val="009B1180"/>
    <w:rsid w:val="009B1791"/>
    <w:rsid w:val="009B4BA5"/>
    <w:rsid w:val="009C45CB"/>
    <w:rsid w:val="009C47E4"/>
    <w:rsid w:val="009C4939"/>
    <w:rsid w:val="009D11DB"/>
    <w:rsid w:val="009D38BB"/>
    <w:rsid w:val="009D50BC"/>
    <w:rsid w:val="009D57AB"/>
    <w:rsid w:val="009D5CF6"/>
    <w:rsid w:val="009D73EF"/>
    <w:rsid w:val="009E0350"/>
    <w:rsid w:val="009E05BB"/>
    <w:rsid w:val="009E4663"/>
    <w:rsid w:val="009E7FF7"/>
    <w:rsid w:val="009F4EED"/>
    <w:rsid w:val="009F526C"/>
    <w:rsid w:val="00A006B9"/>
    <w:rsid w:val="00A014DB"/>
    <w:rsid w:val="00A01EC1"/>
    <w:rsid w:val="00A128AF"/>
    <w:rsid w:val="00A2465D"/>
    <w:rsid w:val="00A251FF"/>
    <w:rsid w:val="00A27E23"/>
    <w:rsid w:val="00A33D63"/>
    <w:rsid w:val="00A348E4"/>
    <w:rsid w:val="00A362CC"/>
    <w:rsid w:val="00A4216C"/>
    <w:rsid w:val="00A421DF"/>
    <w:rsid w:val="00A43A54"/>
    <w:rsid w:val="00A51A35"/>
    <w:rsid w:val="00A54796"/>
    <w:rsid w:val="00A57AFB"/>
    <w:rsid w:val="00A61FA8"/>
    <w:rsid w:val="00A63F16"/>
    <w:rsid w:val="00A70556"/>
    <w:rsid w:val="00A719BD"/>
    <w:rsid w:val="00A7348B"/>
    <w:rsid w:val="00A76255"/>
    <w:rsid w:val="00A801CF"/>
    <w:rsid w:val="00A8155F"/>
    <w:rsid w:val="00A879CF"/>
    <w:rsid w:val="00A90BC5"/>
    <w:rsid w:val="00A92EF1"/>
    <w:rsid w:val="00A93EBB"/>
    <w:rsid w:val="00A966AD"/>
    <w:rsid w:val="00AA5D51"/>
    <w:rsid w:val="00AB125B"/>
    <w:rsid w:val="00AB1B91"/>
    <w:rsid w:val="00AB3FBE"/>
    <w:rsid w:val="00AB5470"/>
    <w:rsid w:val="00AB79FE"/>
    <w:rsid w:val="00AC0714"/>
    <w:rsid w:val="00AC601A"/>
    <w:rsid w:val="00AD0CC0"/>
    <w:rsid w:val="00AD12D6"/>
    <w:rsid w:val="00AD344A"/>
    <w:rsid w:val="00AD4139"/>
    <w:rsid w:val="00AD538B"/>
    <w:rsid w:val="00AD5932"/>
    <w:rsid w:val="00AD6BC1"/>
    <w:rsid w:val="00AE0CF8"/>
    <w:rsid w:val="00AE0D8F"/>
    <w:rsid w:val="00AF560E"/>
    <w:rsid w:val="00AF59A5"/>
    <w:rsid w:val="00AF6BD5"/>
    <w:rsid w:val="00B01AEC"/>
    <w:rsid w:val="00B02849"/>
    <w:rsid w:val="00B068CF"/>
    <w:rsid w:val="00B120C7"/>
    <w:rsid w:val="00B12E4D"/>
    <w:rsid w:val="00B16B1C"/>
    <w:rsid w:val="00B2039B"/>
    <w:rsid w:val="00B22733"/>
    <w:rsid w:val="00B229E6"/>
    <w:rsid w:val="00B32ABB"/>
    <w:rsid w:val="00B33FF2"/>
    <w:rsid w:val="00B4099C"/>
    <w:rsid w:val="00B423BF"/>
    <w:rsid w:val="00B443F6"/>
    <w:rsid w:val="00B50255"/>
    <w:rsid w:val="00B51435"/>
    <w:rsid w:val="00B53151"/>
    <w:rsid w:val="00B5718B"/>
    <w:rsid w:val="00B62543"/>
    <w:rsid w:val="00B62813"/>
    <w:rsid w:val="00B632C7"/>
    <w:rsid w:val="00B65993"/>
    <w:rsid w:val="00B65D4E"/>
    <w:rsid w:val="00B679A5"/>
    <w:rsid w:val="00B708E5"/>
    <w:rsid w:val="00B7245B"/>
    <w:rsid w:val="00B7430D"/>
    <w:rsid w:val="00B76769"/>
    <w:rsid w:val="00B76EB8"/>
    <w:rsid w:val="00B772F9"/>
    <w:rsid w:val="00B84E2D"/>
    <w:rsid w:val="00B92E07"/>
    <w:rsid w:val="00B9443B"/>
    <w:rsid w:val="00BA17FD"/>
    <w:rsid w:val="00BA2650"/>
    <w:rsid w:val="00BB4FC3"/>
    <w:rsid w:val="00BC1005"/>
    <w:rsid w:val="00BC25AE"/>
    <w:rsid w:val="00BC28A7"/>
    <w:rsid w:val="00BD0067"/>
    <w:rsid w:val="00BD0671"/>
    <w:rsid w:val="00BD1807"/>
    <w:rsid w:val="00BD4B6C"/>
    <w:rsid w:val="00BE654D"/>
    <w:rsid w:val="00BF037C"/>
    <w:rsid w:val="00C00AC1"/>
    <w:rsid w:val="00C033C8"/>
    <w:rsid w:val="00C034FB"/>
    <w:rsid w:val="00C0352C"/>
    <w:rsid w:val="00C03A48"/>
    <w:rsid w:val="00C04FD4"/>
    <w:rsid w:val="00C10F6C"/>
    <w:rsid w:val="00C12901"/>
    <w:rsid w:val="00C133DC"/>
    <w:rsid w:val="00C1792A"/>
    <w:rsid w:val="00C17CCC"/>
    <w:rsid w:val="00C242C7"/>
    <w:rsid w:val="00C330FE"/>
    <w:rsid w:val="00C40C40"/>
    <w:rsid w:val="00C51650"/>
    <w:rsid w:val="00C5402C"/>
    <w:rsid w:val="00C550E6"/>
    <w:rsid w:val="00C61D17"/>
    <w:rsid w:val="00C63A0D"/>
    <w:rsid w:val="00C64971"/>
    <w:rsid w:val="00C71ED8"/>
    <w:rsid w:val="00C73275"/>
    <w:rsid w:val="00C736C2"/>
    <w:rsid w:val="00C751CF"/>
    <w:rsid w:val="00C81BB3"/>
    <w:rsid w:val="00C825F1"/>
    <w:rsid w:val="00C832CB"/>
    <w:rsid w:val="00C90543"/>
    <w:rsid w:val="00C9175B"/>
    <w:rsid w:val="00C95ABD"/>
    <w:rsid w:val="00C96FD6"/>
    <w:rsid w:val="00CA284E"/>
    <w:rsid w:val="00CA2D7A"/>
    <w:rsid w:val="00CA5030"/>
    <w:rsid w:val="00CA70EF"/>
    <w:rsid w:val="00CC2BB2"/>
    <w:rsid w:val="00CC3351"/>
    <w:rsid w:val="00CD0713"/>
    <w:rsid w:val="00CD3327"/>
    <w:rsid w:val="00CD6556"/>
    <w:rsid w:val="00CE2821"/>
    <w:rsid w:val="00CF769B"/>
    <w:rsid w:val="00CF781C"/>
    <w:rsid w:val="00CF7CAF"/>
    <w:rsid w:val="00D00DDE"/>
    <w:rsid w:val="00D066CA"/>
    <w:rsid w:val="00D1355E"/>
    <w:rsid w:val="00D1695D"/>
    <w:rsid w:val="00D16CAA"/>
    <w:rsid w:val="00D2280F"/>
    <w:rsid w:val="00D33141"/>
    <w:rsid w:val="00D45B80"/>
    <w:rsid w:val="00D46CCA"/>
    <w:rsid w:val="00D63D4D"/>
    <w:rsid w:val="00D64336"/>
    <w:rsid w:val="00D67EF5"/>
    <w:rsid w:val="00D724BB"/>
    <w:rsid w:val="00D73919"/>
    <w:rsid w:val="00D76BEE"/>
    <w:rsid w:val="00D85B75"/>
    <w:rsid w:val="00D861D3"/>
    <w:rsid w:val="00D87083"/>
    <w:rsid w:val="00D93CF7"/>
    <w:rsid w:val="00D9590A"/>
    <w:rsid w:val="00DA31F1"/>
    <w:rsid w:val="00DA4A10"/>
    <w:rsid w:val="00DA6662"/>
    <w:rsid w:val="00DA6888"/>
    <w:rsid w:val="00DB6AF7"/>
    <w:rsid w:val="00DB6D7C"/>
    <w:rsid w:val="00DC14E8"/>
    <w:rsid w:val="00DD1894"/>
    <w:rsid w:val="00DD4EBB"/>
    <w:rsid w:val="00DD5C67"/>
    <w:rsid w:val="00DE39E0"/>
    <w:rsid w:val="00DF0D3E"/>
    <w:rsid w:val="00E14DC4"/>
    <w:rsid w:val="00E16D77"/>
    <w:rsid w:val="00E24278"/>
    <w:rsid w:val="00E24E98"/>
    <w:rsid w:val="00E32153"/>
    <w:rsid w:val="00E34FF1"/>
    <w:rsid w:val="00E424EE"/>
    <w:rsid w:val="00E428BF"/>
    <w:rsid w:val="00E4409C"/>
    <w:rsid w:val="00E44108"/>
    <w:rsid w:val="00E45E2B"/>
    <w:rsid w:val="00E56A12"/>
    <w:rsid w:val="00E6308B"/>
    <w:rsid w:val="00E667F5"/>
    <w:rsid w:val="00E6776E"/>
    <w:rsid w:val="00E72F3A"/>
    <w:rsid w:val="00E7420B"/>
    <w:rsid w:val="00E76E8B"/>
    <w:rsid w:val="00E77E5E"/>
    <w:rsid w:val="00E81008"/>
    <w:rsid w:val="00E82DDE"/>
    <w:rsid w:val="00E94D75"/>
    <w:rsid w:val="00E96C69"/>
    <w:rsid w:val="00EA1047"/>
    <w:rsid w:val="00EA7912"/>
    <w:rsid w:val="00EB6508"/>
    <w:rsid w:val="00EC0EE4"/>
    <w:rsid w:val="00EC1594"/>
    <w:rsid w:val="00EC182E"/>
    <w:rsid w:val="00ED1E10"/>
    <w:rsid w:val="00ED2B9D"/>
    <w:rsid w:val="00EE05F4"/>
    <w:rsid w:val="00EE741F"/>
    <w:rsid w:val="00EE77A6"/>
    <w:rsid w:val="00EF2FB5"/>
    <w:rsid w:val="00EF5FC1"/>
    <w:rsid w:val="00F0380E"/>
    <w:rsid w:val="00F03A19"/>
    <w:rsid w:val="00F167AA"/>
    <w:rsid w:val="00F17192"/>
    <w:rsid w:val="00F2106C"/>
    <w:rsid w:val="00F22418"/>
    <w:rsid w:val="00F24AF6"/>
    <w:rsid w:val="00F27991"/>
    <w:rsid w:val="00F30255"/>
    <w:rsid w:val="00F3687A"/>
    <w:rsid w:val="00F439DC"/>
    <w:rsid w:val="00F47736"/>
    <w:rsid w:val="00F50074"/>
    <w:rsid w:val="00F52AE5"/>
    <w:rsid w:val="00F548C6"/>
    <w:rsid w:val="00F57F0B"/>
    <w:rsid w:val="00F67293"/>
    <w:rsid w:val="00F70C00"/>
    <w:rsid w:val="00F81EAE"/>
    <w:rsid w:val="00F83DD2"/>
    <w:rsid w:val="00F91B98"/>
    <w:rsid w:val="00F92918"/>
    <w:rsid w:val="00FA349B"/>
    <w:rsid w:val="00FA6143"/>
    <w:rsid w:val="00FA711C"/>
    <w:rsid w:val="00FB50D2"/>
    <w:rsid w:val="00FB5926"/>
    <w:rsid w:val="00FB6871"/>
    <w:rsid w:val="00FC0473"/>
    <w:rsid w:val="00FC0ACF"/>
    <w:rsid w:val="00FD3951"/>
    <w:rsid w:val="00FD70BB"/>
    <w:rsid w:val="00FE3DB6"/>
    <w:rsid w:val="00FE69F9"/>
    <w:rsid w:val="00FF426D"/>
    <w:rsid w:val="00FF68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1C83D5"/>
  <w15:docId w15:val="{C79BFDCC-72A8-4869-B913-EAEE4E977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751CF"/>
  </w:style>
  <w:style w:type="paragraph" w:styleId="Heading1">
    <w:name w:val="heading 1"/>
    <w:basedOn w:val="Normal"/>
    <w:link w:val="Heading1Char"/>
    <w:uiPriority w:val="9"/>
    <w:rsid w:val="00F91B98"/>
    <w:pPr>
      <w:spacing w:beforeLines="1" w:afterLines="1" w:line="240" w:lineRule="auto"/>
      <w:outlineLvl w:val="0"/>
    </w:pPr>
    <w:rPr>
      <w:rFonts w:ascii="Times" w:hAnsi="Times"/>
      <w:b/>
      <w:kern w:val="36"/>
      <w:sz w:val="48"/>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0A93"/>
    <w:pPr>
      <w:ind w:left="720"/>
      <w:contextualSpacing/>
    </w:pPr>
  </w:style>
  <w:style w:type="paragraph" w:styleId="Header">
    <w:name w:val="header"/>
    <w:basedOn w:val="Normal"/>
    <w:link w:val="HeaderChar"/>
    <w:uiPriority w:val="99"/>
    <w:unhideWhenUsed/>
    <w:rsid w:val="005679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96A"/>
  </w:style>
  <w:style w:type="paragraph" w:styleId="Footer">
    <w:name w:val="footer"/>
    <w:basedOn w:val="Normal"/>
    <w:link w:val="FooterChar"/>
    <w:uiPriority w:val="99"/>
    <w:unhideWhenUsed/>
    <w:rsid w:val="005679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96A"/>
  </w:style>
  <w:style w:type="paragraph" w:styleId="BalloonText">
    <w:name w:val="Balloon Text"/>
    <w:basedOn w:val="Normal"/>
    <w:link w:val="BalloonTextChar"/>
    <w:uiPriority w:val="99"/>
    <w:semiHidden/>
    <w:unhideWhenUsed/>
    <w:rsid w:val="005679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96A"/>
    <w:rPr>
      <w:rFonts w:ascii="Tahoma" w:hAnsi="Tahoma" w:cs="Tahoma"/>
      <w:sz w:val="16"/>
      <w:szCs w:val="16"/>
    </w:rPr>
  </w:style>
  <w:style w:type="character" w:styleId="Hyperlink">
    <w:name w:val="Hyperlink"/>
    <w:basedOn w:val="DefaultParagraphFont"/>
    <w:uiPriority w:val="99"/>
    <w:unhideWhenUsed/>
    <w:rsid w:val="0002003A"/>
    <w:rPr>
      <w:color w:val="0000FF" w:themeColor="hyperlink"/>
      <w:u w:val="single"/>
    </w:rPr>
  </w:style>
  <w:style w:type="character" w:styleId="FollowedHyperlink">
    <w:name w:val="FollowedHyperlink"/>
    <w:basedOn w:val="DefaultParagraphFont"/>
    <w:uiPriority w:val="99"/>
    <w:semiHidden/>
    <w:unhideWhenUsed/>
    <w:rsid w:val="00C12901"/>
    <w:rPr>
      <w:color w:val="800080" w:themeColor="followedHyperlink"/>
      <w:u w:val="single"/>
    </w:rPr>
  </w:style>
  <w:style w:type="character" w:customStyle="1" w:styleId="Heading1Char">
    <w:name w:val="Heading 1 Char"/>
    <w:basedOn w:val="DefaultParagraphFont"/>
    <w:link w:val="Heading1"/>
    <w:uiPriority w:val="9"/>
    <w:rsid w:val="00F91B98"/>
    <w:rPr>
      <w:rFonts w:ascii="Times" w:hAnsi="Times"/>
      <w:b/>
      <w:kern w:val="36"/>
      <w:sz w:val="48"/>
      <w:szCs w:val="20"/>
      <w:lang w:val="en-AU"/>
    </w:rPr>
  </w:style>
  <w:style w:type="paragraph" w:styleId="NormalWeb">
    <w:name w:val="Normal (Web)"/>
    <w:basedOn w:val="Normal"/>
    <w:uiPriority w:val="99"/>
    <w:rsid w:val="00F91B98"/>
    <w:pPr>
      <w:spacing w:beforeLines="1" w:afterLines="1" w:line="240" w:lineRule="auto"/>
    </w:pPr>
    <w:rPr>
      <w:rFonts w:ascii="Times" w:hAnsi="Times" w:cs="Times New Roman"/>
      <w:sz w:val="20"/>
      <w:szCs w:val="20"/>
      <w:lang w:val="en-AU"/>
    </w:rPr>
  </w:style>
  <w:style w:type="character" w:styleId="Strong">
    <w:name w:val="Strong"/>
    <w:basedOn w:val="DefaultParagraphFont"/>
    <w:uiPriority w:val="22"/>
    <w:qFormat/>
    <w:rsid w:val="00F91B98"/>
    <w:rPr>
      <w:b/>
    </w:rPr>
  </w:style>
  <w:style w:type="character" w:customStyle="1" w:styleId="apple-converted-space">
    <w:name w:val="apple-converted-space"/>
    <w:basedOn w:val="DefaultParagraphFont"/>
    <w:rsid w:val="00F91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9312225">
      <w:bodyDiv w:val="1"/>
      <w:marLeft w:val="0"/>
      <w:marRight w:val="0"/>
      <w:marTop w:val="0"/>
      <w:marBottom w:val="0"/>
      <w:divBdr>
        <w:top w:val="none" w:sz="0" w:space="0" w:color="auto"/>
        <w:left w:val="none" w:sz="0" w:space="0" w:color="auto"/>
        <w:bottom w:val="none" w:sz="0" w:space="0" w:color="auto"/>
        <w:right w:val="none" w:sz="0" w:space="0" w:color="auto"/>
      </w:divBdr>
    </w:div>
    <w:div w:id="161987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2697</TotalTime>
  <Pages>32</Pages>
  <Words>6415</Words>
  <Characters>36570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BIWS</cp:lastModifiedBy>
  <cp:revision>67</cp:revision>
  <dcterms:created xsi:type="dcterms:W3CDTF">2014-09-12T20:34:00Z</dcterms:created>
  <dcterms:modified xsi:type="dcterms:W3CDTF">2016-04-10T13:31:00Z</dcterms:modified>
</cp:coreProperties>
</file>