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16990" w14:textId="6D6BF9CF" w:rsidR="008A2777" w:rsidRPr="007735C1" w:rsidRDefault="00D83566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REIT </w:t>
      </w:r>
      <w:r w:rsidR="00637FDB" w:rsidRPr="007735C1">
        <w:rPr>
          <w:b/>
          <w:sz w:val="24"/>
          <w:szCs w:val="24"/>
        </w:rPr>
        <w:t xml:space="preserve">Valuation </w:t>
      </w:r>
      <w:r w:rsidR="003F0A93" w:rsidRPr="007735C1">
        <w:rPr>
          <w:b/>
          <w:sz w:val="24"/>
          <w:szCs w:val="24"/>
        </w:rPr>
        <w:t xml:space="preserve">Case Study: </w:t>
      </w:r>
      <w:r w:rsidR="00CE77B2">
        <w:rPr>
          <w:b/>
          <w:sz w:val="24"/>
          <w:szCs w:val="24"/>
        </w:rPr>
        <w:t>AvalonBay [AVB]</w:t>
      </w:r>
      <w:r w:rsidR="007735C1">
        <w:rPr>
          <w:b/>
          <w:sz w:val="24"/>
          <w:szCs w:val="24"/>
        </w:rPr>
        <w:t xml:space="preserve"> – </w:t>
      </w:r>
      <w:r w:rsidR="00133B4A">
        <w:rPr>
          <w:b/>
          <w:sz w:val="24"/>
          <w:szCs w:val="24"/>
        </w:rPr>
        <w:t>Stock Pitch Outline</w:t>
      </w:r>
    </w:p>
    <w:p w14:paraId="309B7A34" w14:textId="783A8D38" w:rsidR="00FC3819" w:rsidRPr="00FC3819" w:rsidRDefault="00FC3819" w:rsidP="00FC3819">
      <w:pPr>
        <w:pStyle w:val="ListParagraph"/>
        <w:numPr>
          <w:ilvl w:val="0"/>
          <w:numId w:val="40"/>
        </w:numPr>
        <w:rPr>
          <w:b/>
          <w:sz w:val="24"/>
          <w:szCs w:val="24"/>
        </w:rPr>
      </w:pPr>
      <w:r w:rsidRPr="00FC3819">
        <w:rPr>
          <w:b/>
          <w:sz w:val="24"/>
          <w:szCs w:val="24"/>
        </w:rPr>
        <w:t>Recommendation:</w:t>
      </w:r>
      <w:r>
        <w:rPr>
          <w:sz w:val="24"/>
          <w:szCs w:val="24"/>
        </w:rPr>
        <w:t xml:space="preserve"> </w:t>
      </w:r>
      <w:r w:rsidR="00621564">
        <w:rPr>
          <w:sz w:val="24"/>
          <w:szCs w:val="24"/>
        </w:rPr>
        <w:t>We r</w:t>
      </w:r>
      <w:r>
        <w:rPr>
          <w:sz w:val="24"/>
          <w:szCs w:val="24"/>
        </w:rPr>
        <w:t xml:space="preserve">ecommend </w:t>
      </w:r>
      <w:r w:rsidR="00424CE2">
        <w:rPr>
          <w:sz w:val="24"/>
          <w:szCs w:val="24"/>
        </w:rPr>
        <w:t xml:space="preserve">LONGING </w:t>
      </w:r>
      <w:r w:rsidR="00497122">
        <w:rPr>
          <w:sz w:val="24"/>
          <w:szCs w:val="24"/>
        </w:rPr>
        <w:t>AvalonBay [AVB]</w:t>
      </w:r>
      <w:r>
        <w:rPr>
          <w:sz w:val="24"/>
          <w:szCs w:val="24"/>
        </w:rPr>
        <w:t xml:space="preserve"> because:</w:t>
      </w:r>
    </w:p>
    <w:p w14:paraId="57ABDBE7" w14:textId="77777777" w:rsidR="00A22268" w:rsidRDefault="00A22268" w:rsidP="00A22268">
      <w:pPr>
        <w:pStyle w:val="ListParagraph"/>
        <w:ind w:left="1440"/>
        <w:rPr>
          <w:sz w:val="24"/>
          <w:szCs w:val="24"/>
        </w:rPr>
      </w:pPr>
    </w:p>
    <w:p w14:paraId="05013DCC" w14:textId="2E36EAF4" w:rsidR="003B6831" w:rsidRDefault="003B6831" w:rsidP="00FC3819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It’s undervalued by 20-30% currently because the market has incorrectly penalized the company for </w:t>
      </w:r>
      <w:r w:rsidR="00B21304">
        <w:rPr>
          <w:sz w:val="24"/>
          <w:szCs w:val="24"/>
        </w:rPr>
        <w:t>in-line Q4 earnings (and several misses in 2017) and expectations of rising interest rates and a multifamily slowdown in the company’s key coastal markets.</w:t>
      </w:r>
    </w:p>
    <w:p w14:paraId="40E1C4C0" w14:textId="77777777" w:rsidR="003B6831" w:rsidRDefault="003B6831" w:rsidP="003B6831">
      <w:pPr>
        <w:pStyle w:val="ListParagraph"/>
        <w:ind w:left="1440"/>
        <w:rPr>
          <w:sz w:val="24"/>
          <w:szCs w:val="24"/>
        </w:rPr>
      </w:pPr>
    </w:p>
    <w:p w14:paraId="6BBB5324" w14:textId="694AC492" w:rsidR="00B21304" w:rsidRDefault="008766BA" w:rsidP="00FC3819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Even if we’re wrong</w:t>
      </w:r>
      <w:r w:rsidR="00A43F7C">
        <w:rPr>
          <w:sz w:val="24"/>
          <w:szCs w:val="24"/>
        </w:rPr>
        <w:t xml:space="preserve">, </w:t>
      </w:r>
      <w:r w:rsidR="00B21304">
        <w:rPr>
          <w:sz w:val="24"/>
          <w:szCs w:val="24"/>
        </w:rPr>
        <w:t xml:space="preserve">and there </w:t>
      </w:r>
      <w:r w:rsidR="00B21304" w:rsidRPr="00A57D9F">
        <w:rPr>
          <w:noProof/>
          <w:sz w:val="24"/>
          <w:szCs w:val="24"/>
        </w:rPr>
        <w:t>is</w:t>
      </w:r>
      <w:r w:rsidR="00B21304">
        <w:rPr>
          <w:sz w:val="24"/>
          <w:szCs w:val="24"/>
        </w:rPr>
        <w:t xml:space="preserve"> a recession</w:t>
      </w:r>
      <w:r w:rsidR="00A57D9F">
        <w:rPr>
          <w:sz w:val="24"/>
          <w:szCs w:val="24"/>
        </w:rPr>
        <w:t>/</w:t>
      </w:r>
      <w:r w:rsidR="00B21304">
        <w:rPr>
          <w:sz w:val="24"/>
          <w:szCs w:val="24"/>
        </w:rPr>
        <w:t xml:space="preserve">multifamily market downturn in the next 1-2 years, </w:t>
      </w:r>
      <w:r w:rsidR="00B21304" w:rsidRPr="00A57D9F">
        <w:rPr>
          <w:noProof/>
          <w:sz w:val="24"/>
          <w:szCs w:val="24"/>
        </w:rPr>
        <w:t>the company is only overvalued by ~10%</w:t>
      </w:r>
      <w:r w:rsidR="00B21304">
        <w:rPr>
          <w:sz w:val="24"/>
          <w:szCs w:val="24"/>
        </w:rPr>
        <w:t>.</w:t>
      </w:r>
    </w:p>
    <w:p w14:paraId="5BF3AC22" w14:textId="77777777" w:rsidR="00A22268" w:rsidRDefault="00A22268" w:rsidP="00A22268">
      <w:pPr>
        <w:pStyle w:val="ListParagraph"/>
        <w:ind w:left="1440"/>
        <w:rPr>
          <w:sz w:val="24"/>
          <w:szCs w:val="24"/>
        </w:rPr>
      </w:pPr>
    </w:p>
    <w:p w14:paraId="2E1F8D83" w14:textId="4D88A609" w:rsidR="008766BA" w:rsidRDefault="008766BA" w:rsidP="00FC3819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Catalysts include </w:t>
      </w:r>
      <w:r w:rsidR="00B21304">
        <w:rPr>
          <w:sz w:val="24"/>
          <w:szCs w:val="24"/>
        </w:rPr>
        <w:t>the stabilization of the company’s record $1.9 billion in FY 17 deliveries, same-store rental increases above guidance, and the company’s expansion into new markets, such as Denver, South Florida, and Baltimore, to maintain its Development yields.</w:t>
      </w:r>
    </w:p>
    <w:p w14:paraId="0B84A96B" w14:textId="77777777" w:rsidR="00933650" w:rsidRDefault="00933650" w:rsidP="00933650">
      <w:pPr>
        <w:pStyle w:val="ListParagraph"/>
        <w:ind w:left="1440"/>
        <w:rPr>
          <w:sz w:val="24"/>
          <w:szCs w:val="24"/>
        </w:rPr>
      </w:pPr>
    </w:p>
    <w:p w14:paraId="5EB64664" w14:textId="07E7CC74" w:rsidR="00B21304" w:rsidRDefault="00FC3819" w:rsidP="00FC3819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Investment risks </w:t>
      </w:r>
      <w:r w:rsidR="00933650">
        <w:rPr>
          <w:sz w:val="24"/>
          <w:szCs w:val="24"/>
        </w:rPr>
        <w:t xml:space="preserve">include </w:t>
      </w:r>
      <w:r w:rsidR="00B21304">
        <w:rPr>
          <w:sz w:val="24"/>
          <w:szCs w:val="24"/>
        </w:rPr>
        <w:t>a recession and coastal multifamily market downturn in the next 1-2 years, development delays</w:t>
      </w:r>
      <w:r w:rsidR="00BC401B">
        <w:rPr>
          <w:sz w:val="24"/>
          <w:szCs w:val="24"/>
        </w:rPr>
        <w:t>/</w:t>
      </w:r>
      <w:r w:rsidR="00B21304">
        <w:rPr>
          <w:sz w:val="24"/>
          <w:szCs w:val="24"/>
        </w:rPr>
        <w:t>cost overruns</w:t>
      </w:r>
      <w:r w:rsidR="00BC401B">
        <w:rPr>
          <w:sz w:val="24"/>
          <w:szCs w:val="24"/>
        </w:rPr>
        <w:t>/</w:t>
      </w:r>
      <w:r w:rsidR="00B21304">
        <w:rPr>
          <w:sz w:val="24"/>
          <w:szCs w:val="24"/>
        </w:rPr>
        <w:t xml:space="preserve">lower-than-expected yields, and lower NOI margins due to </w:t>
      </w:r>
      <w:r w:rsidR="000F0BA2">
        <w:rPr>
          <w:sz w:val="24"/>
          <w:szCs w:val="24"/>
        </w:rPr>
        <w:t xml:space="preserve">rising concessions in certain markets. We could mitigate these risks by purchasing put options, longing multifamily REITs in different geographies or </w:t>
      </w:r>
      <w:r w:rsidR="00AE34DE">
        <w:rPr>
          <w:sz w:val="24"/>
          <w:szCs w:val="24"/>
        </w:rPr>
        <w:t>ones that focus less on development</w:t>
      </w:r>
      <w:r w:rsidR="000F0BA2">
        <w:rPr>
          <w:sz w:val="24"/>
          <w:szCs w:val="24"/>
        </w:rPr>
        <w:t>, or shorting a broader multifamily/real estate index fund or ETF.</w:t>
      </w:r>
    </w:p>
    <w:p w14:paraId="4BDE9F50" w14:textId="77777777" w:rsidR="00E5029B" w:rsidRPr="00E5029B" w:rsidRDefault="00E5029B" w:rsidP="00E5029B">
      <w:pPr>
        <w:pStyle w:val="ListParagraph"/>
        <w:rPr>
          <w:sz w:val="24"/>
          <w:szCs w:val="24"/>
        </w:rPr>
      </w:pPr>
    </w:p>
    <w:p w14:paraId="3692A418" w14:textId="5B58F8F3" w:rsidR="00FC3819" w:rsidRDefault="00FC3819" w:rsidP="00FC3819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b/>
          <w:sz w:val="24"/>
          <w:szCs w:val="24"/>
        </w:rPr>
        <w:t>Company Background:</w:t>
      </w:r>
      <w:r>
        <w:rPr>
          <w:sz w:val="24"/>
          <w:szCs w:val="24"/>
        </w:rPr>
        <w:t xml:space="preserve"> [State </w:t>
      </w:r>
      <w:r w:rsidR="00C37A1D">
        <w:rPr>
          <w:sz w:val="24"/>
          <w:szCs w:val="24"/>
        </w:rPr>
        <w:t xml:space="preserve">the </w:t>
      </w:r>
      <w:r w:rsidR="00726CE5">
        <w:rPr>
          <w:sz w:val="24"/>
          <w:szCs w:val="24"/>
        </w:rPr>
        <w:t xml:space="preserve">business model, </w:t>
      </w:r>
      <w:r>
        <w:rPr>
          <w:sz w:val="24"/>
          <w:szCs w:val="24"/>
        </w:rPr>
        <w:t xml:space="preserve">multiples, </w:t>
      </w:r>
      <w:r w:rsidR="00071430">
        <w:rPr>
          <w:sz w:val="24"/>
          <w:szCs w:val="24"/>
        </w:rPr>
        <w:t xml:space="preserve">financial projections, </w:t>
      </w:r>
      <w:r w:rsidR="00726CE5">
        <w:rPr>
          <w:sz w:val="24"/>
          <w:szCs w:val="24"/>
        </w:rPr>
        <w:t xml:space="preserve">and </w:t>
      </w:r>
      <w:r w:rsidR="00071430">
        <w:rPr>
          <w:sz w:val="24"/>
          <w:szCs w:val="24"/>
        </w:rPr>
        <w:t>revenue</w:t>
      </w:r>
      <w:r w:rsidR="00D83566">
        <w:rPr>
          <w:sz w:val="24"/>
          <w:szCs w:val="24"/>
        </w:rPr>
        <w:t>/NOI by segment</w:t>
      </w:r>
      <w:r w:rsidR="00726CE5">
        <w:rPr>
          <w:sz w:val="24"/>
          <w:szCs w:val="24"/>
        </w:rPr>
        <w:t>.</w:t>
      </w:r>
      <w:r>
        <w:rPr>
          <w:sz w:val="24"/>
          <w:szCs w:val="24"/>
        </w:rPr>
        <w:t>]</w:t>
      </w:r>
    </w:p>
    <w:p w14:paraId="32ADF301" w14:textId="77777777" w:rsidR="00E5029B" w:rsidRDefault="00E5029B" w:rsidP="00E5029B">
      <w:pPr>
        <w:pStyle w:val="ListParagraph"/>
        <w:rPr>
          <w:sz w:val="24"/>
          <w:szCs w:val="24"/>
        </w:rPr>
      </w:pPr>
    </w:p>
    <w:p w14:paraId="56502F60" w14:textId="77777777" w:rsidR="00FC3819" w:rsidRDefault="00FC3819" w:rsidP="00FC3819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b/>
          <w:sz w:val="24"/>
          <w:szCs w:val="24"/>
        </w:rPr>
        <w:t>Investment Thesis:</w:t>
      </w:r>
      <w:r w:rsidRPr="00FC3819">
        <w:rPr>
          <w:sz w:val="24"/>
          <w:szCs w:val="24"/>
        </w:rPr>
        <w:t xml:space="preserve"> The </w:t>
      </w:r>
      <w:r>
        <w:rPr>
          <w:sz w:val="24"/>
          <w:szCs w:val="24"/>
        </w:rPr>
        <w:t>stock is priced imperfectly because:</w:t>
      </w:r>
    </w:p>
    <w:p w14:paraId="5D3650B0" w14:textId="77777777" w:rsidR="00984F2C" w:rsidRDefault="00984F2C" w:rsidP="00984F2C">
      <w:pPr>
        <w:pStyle w:val="ListParagraph"/>
        <w:ind w:left="1440"/>
        <w:rPr>
          <w:sz w:val="24"/>
          <w:szCs w:val="24"/>
        </w:rPr>
      </w:pPr>
    </w:p>
    <w:p w14:paraId="07C24F7A" w14:textId="0A603702" w:rsidR="00F71122" w:rsidRDefault="005F7758" w:rsidP="00FC3819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Rising interest rates </w:t>
      </w:r>
      <w:r w:rsidRPr="00A57D9F">
        <w:rPr>
          <w:noProof/>
          <w:sz w:val="24"/>
          <w:szCs w:val="24"/>
        </w:rPr>
        <w:t>actually</w:t>
      </w:r>
      <w:r>
        <w:rPr>
          <w:sz w:val="24"/>
          <w:szCs w:val="24"/>
        </w:rPr>
        <w:t xml:space="preserve"> help the company because they make mortgages more expensive, discouraging home ownership, and approximately 83% of AVB’s Debt is fixed-rate with an average maturity of ~</w:t>
      </w:r>
      <w:r w:rsidRPr="00A57D9F">
        <w:rPr>
          <w:noProof/>
          <w:sz w:val="24"/>
          <w:szCs w:val="24"/>
        </w:rPr>
        <w:t>10</w:t>
      </w:r>
      <w:r>
        <w:rPr>
          <w:sz w:val="24"/>
          <w:szCs w:val="24"/>
        </w:rPr>
        <w:t xml:space="preserve"> years. We assumed a Cost of Debt </w:t>
      </w:r>
      <w:r w:rsidR="009B522F">
        <w:rPr>
          <w:sz w:val="24"/>
          <w:szCs w:val="24"/>
        </w:rPr>
        <w:t xml:space="preserve">of </w:t>
      </w:r>
      <w:r>
        <w:rPr>
          <w:sz w:val="24"/>
          <w:szCs w:val="24"/>
        </w:rPr>
        <w:t>close to 4% in the DCF, above the company’s current rate of 3%</w:t>
      </w:r>
      <w:r w:rsidR="00360318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even </w:t>
      </w:r>
      <w:r w:rsidR="00360318">
        <w:rPr>
          <w:sz w:val="24"/>
          <w:szCs w:val="24"/>
        </w:rPr>
        <w:t xml:space="preserve">with </w:t>
      </w:r>
      <w:r>
        <w:rPr>
          <w:sz w:val="24"/>
          <w:szCs w:val="24"/>
        </w:rPr>
        <w:t xml:space="preserve">a Cost of Debt of 5%, the company would still </w:t>
      </w:r>
      <w:r w:rsidRPr="00A57D9F">
        <w:rPr>
          <w:noProof/>
          <w:sz w:val="24"/>
          <w:szCs w:val="24"/>
        </w:rPr>
        <w:t>be undervalued</w:t>
      </w:r>
      <w:r>
        <w:rPr>
          <w:sz w:val="24"/>
          <w:szCs w:val="24"/>
        </w:rPr>
        <w:t xml:space="preserve"> by ~10%.</w:t>
      </w:r>
    </w:p>
    <w:p w14:paraId="446F9F23" w14:textId="77777777" w:rsidR="00B73502" w:rsidRDefault="00B73502" w:rsidP="00B73502">
      <w:pPr>
        <w:pStyle w:val="ListParagraph"/>
        <w:ind w:left="1440"/>
        <w:rPr>
          <w:sz w:val="24"/>
          <w:szCs w:val="24"/>
        </w:rPr>
      </w:pPr>
    </w:p>
    <w:p w14:paraId="0938D4D0" w14:textId="4215498B" w:rsidR="00F71122" w:rsidRDefault="005F7758" w:rsidP="00FC3819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While there is </w:t>
      </w:r>
      <w:r w:rsidR="00A57D9F">
        <w:rPr>
          <w:sz w:val="24"/>
          <w:szCs w:val="24"/>
        </w:rPr>
        <w:t xml:space="preserve">a </w:t>
      </w:r>
      <w:r w:rsidRPr="00A57D9F">
        <w:rPr>
          <w:noProof/>
          <w:sz w:val="24"/>
          <w:szCs w:val="24"/>
        </w:rPr>
        <w:t>substantial</w:t>
      </w:r>
      <w:r>
        <w:rPr>
          <w:sz w:val="24"/>
          <w:szCs w:val="24"/>
        </w:rPr>
        <w:t xml:space="preserve"> risk of a recession, it is more likely to affect the single-family </w:t>
      </w:r>
      <w:r w:rsidR="009D5F67">
        <w:rPr>
          <w:sz w:val="24"/>
          <w:szCs w:val="24"/>
        </w:rPr>
        <w:t xml:space="preserve">home </w:t>
      </w:r>
      <w:r>
        <w:rPr>
          <w:sz w:val="24"/>
          <w:szCs w:val="24"/>
        </w:rPr>
        <w:t>market because of the exorbitant cost of housing in key markets such as LA, SF, and Northern Virginia (</w:t>
      </w:r>
      <w:r w:rsidR="00085DB2">
        <w:rPr>
          <w:sz w:val="24"/>
          <w:szCs w:val="24"/>
        </w:rPr>
        <w:t xml:space="preserve">where even software engineers might spend 30-45% of their income </w:t>
      </w:r>
      <w:r w:rsidR="009D5F67">
        <w:rPr>
          <w:sz w:val="24"/>
          <w:szCs w:val="24"/>
        </w:rPr>
        <w:t xml:space="preserve">to own </w:t>
      </w:r>
      <w:r w:rsidR="00085DB2">
        <w:rPr>
          <w:sz w:val="24"/>
          <w:szCs w:val="24"/>
        </w:rPr>
        <w:t>an average house). Historically, AVB’s rental revenue has never declined by more than 2% over the past 20 years.</w:t>
      </w:r>
    </w:p>
    <w:p w14:paraId="6448F3E5" w14:textId="77777777" w:rsidR="00B73502" w:rsidRDefault="00B73502" w:rsidP="00B73502">
      <w:pPr>
        <w:pStyle w:val="ListParagraph"/>
        <w:ind w:left="1440"/>
        <w:rPr>
          <w:sz w:val="24"/>
          <w:szCs w:val="24"/>
        </w:rPr>
      </w:pPr>
    </w:p>
    <w:p w14:paraId="5DC18B34" w14:textId="538C8249" w:rsidR="00FC3819" w:rsidRDefault="00336D94" w:rsidP="00F71122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Consensus estimates significantly understate AVB’s projected revenue and NOI – forecast growth rates are in the 3-4% </w:t>
      </w:r>
      <w:r w:rsidRPr="00A57D9F">
        <w:rPr>
          <w:noProof/>
          <w:sz w:val="24"/>
          <w:szCs w:val="24"/>
        </w:rPr>
        <w:t>range,</w:t>
      </w:r>
      <w:r>
        <w:rPr>
          <w:sz w:val="24"/>
          <w:szCs w:val="24"/>
        </w:rPr>
        <w:t xml:space="preserve"> as if the company’s Development pipeline did not exist and it simply planned to maintain its existing assets. Even in the Base Case, we forecast revenue that’s 10-15% higher than consensus forecasts by Year 5.</w:t>
      </w:r>
    </w:p>
    <w:p w14:paraId="6506431F" w14:textId="77777777" w:rsidR="00E5029B" w:rsidRPr="00F71122" w:rsidRDefault="00E5029B" w:rsidP="00E5029B">
      <w:pPr>
        <w:pStyle w:val="ListParagraph"/>
        <w:ind w:left="1440"/>
        <w:rPr>
          <w:sz w:val="24"/>
          <w:szCs w:val="24"/>
        </w:rPr>
      </w:pPr>
    </w:p>
    <w:p w14:paraId="3C49F86B" w14:textId="77777777" w:rsidR="006A30C5" w:rsidRDefault="006A30C5" w:rsidP="006A30C5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b/>
          <w:sz w:val="24"/>
          <w:szCs w:val="24"/>
        </w:rPr>
        <w:t>Catalysts:</w:t>
      </w:r>
    </w:p>
    <w:p w14:paraId="7CCBF9E2" w14:textId="77777777" w:rsidR="003F24BE" w:rsidRDefault="003F24BE" w:rsidP="003F24BE">
      <w:pPr>
        <w:pStyle w:val="ListParagraph"/>
        <w:ind w:left="1440"/>
        <w:rPr>
          <w:sz w:val="24"/>
          <w:szCs w:val="24"/>
        </w:rPr>
      </w:pPr>
    </w:p>
    <w:p w14:paraId="383E4B36" w14:textId="70698FFC" w:rsidR="000E2696" w:rsidRDefault="00A43F7C" w:rsidP="00F71122">
      <w:pPr>
        <w:pStyle w:val="ListParagraph"/>
        <w:numPr>
          <w:ilvl w:val="1"/>
          <w:numId w:val="40"/>
        </w:numPr>
        <w:rPr>
          <w:sz w:val="24"/>
          <w:szCs w:val="24"/>
        </w:rPr>
      </w:pPr>
      <w:r w:rsidRPr="00A57D9F">
        <w:rPr>
          <w:noProof/>
          <w:sz w:val="24"/>
          <w:szCs w:val="24"/>
        </w:rPr>
        <w:t>The stabilization</w:t>
      </w:r>
      <w:r>
        <w:rPr>
          <w:sz w:val="24"/>
          <w:szCs w:val="24"/>
        </w:rPr>
        <w:t xml:space="preserve"> of the company’s $1.9 billion in FY 17 deliveries at a </w:t>
      </w:r>
      <w:r w:rsidR="00CA6C5A">
        <w:rPr>
          <w:sz w:val="24"/>
          <w:szCs w:val="24"/>
        </w:rPr>
        <w:t xml:space="preserve">6.0 – 6.5% weighted average </w:t>
      </w:r>
      <w:r>
        <w:rPr>
          <w:sz w:val="24"/>
          <w:szCs w:val="24"/>
        </w:rPr>
        <w:t>yield.</w:t>
      </w:r>
    </w:p>
    <w:p w14:paraId="48D8370D" w14:textId="77777777" w:rsidR="00621564" w:rsidRDefault="00621564" w:rsidP="00621564">
      <w:pPr>
        <w:pStyle w:val="ListParagraph"/>
        <w:ind w:left="1440"/>
        <w:rPr>
          <w:sz w:val="24"/>
          <w:szCs w:val="24"/>
        </w:rPr>
      </w:pPr>
    </w:p>
    <w:p w14:paraId="29C4BECC" w14:textId="6CF94855" w:rsidR="000E2696" w:rsidRDefault="00A43F7C" w:rsidP="00F71122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Same-store rental increases at the top end of company guidance</w:t>
      </w:r>
      <w:r w:rsidR="00650E54">
        <w:rPr>
          <w:sz w:val="24"/>
          <w:szCs w:val="24"/>
        </w:rPr>
        <w:t xml:space="preserve"> (or above it)</w:t>
      </w:r>
      <w:r>
        <w:rPr>
          <w:sz w:val="24"/>
          <w:szCs w:val="24"/>
        </w:rPr>
        <w:t xml:space="preserve">, resulting in </w:t>
      </w:r>
      <w:r w:rsidR="000E64E1">
        <w:rPr>
          <w:sz w:val="24"/>
          <w:szCs w:val="24"/>
        </w:rPr>
        <w:t xml:space="preserve">total </w:t>
      </w:r>
      <w:r>
        <w:rPr>
          <w:sz w:val="24"/>
          <w:szCs w:val="24"/>
        </w:rPr>
        <w:t>same-store rental growth close to 3%.</w:t>
      </w:r>
    </w:p>
    <w:p w14:paraId="7BD8601D" w14:textId="77777777" w:rsidR="00621564" w:rsidRDefault="00621564" w:rsidP="00621564">
      <w:pPr>
        <w:pStyle w:val="ListParagraph"/>
        <w:ind w:left="1440"/>
        <w:rPr>
          <w:sz w:val="24"/>
          <w:szCs w:val="24"/>
        </w:rPr>
      </w:pPr>
    </w:p>
    <w:p w14:paraId="36EC27BB" w14:textId="52287862" w:rsidR="000E2696" w:rsidRDefault="00A43F7C" w:rsidP="00F71122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The company’s expansion into new markets, such as Denver, South Florida, and Baltimore to maintain its yields.</w:t>
      </w:r>
    </w:p>
    <w:p w14:paraId="1CBCF9B1" w14:textId="77777777" w:rsidR="00E5029B" w:rsidRDefault="00E5029B" w:rsidP="00E5029B">
      <w:pPr>
        <w:pStyle w:val="ListParagraph"/>
        <w:rPr>
          <w:b/>
          <w:sz w:val="24"/>
          <w:szCs w:val="24"/>
        </w:rPr>
      </w:pPr>
    </w:p>
    <w:p w14:paraId="18C3BD17" w14:textId="1288EF59" w:rsidR="006A30C5" w:rsidRPr="00E5029B" w:rsidRDefault="006A30C5" w:rsidP="006A30C5">
      <w:pPr>
        <w:pStyle w:val="ListParagraph"/>
        <w:numPr>
          <w:ilvl w:val="0"/>
          <w:numId w:val="40"/>
        </w:numPr>
        <w:rPr>
          <w:b/>
          <w:sz w:val="24"/>
          <w:szCs w:val="24"/>
        </w:rPr>
      </w:pPr>
      <w:r w:rsidRPr="006A30C5">
        <w:rPr>
          <w:b/>
          <w:sz w:val="24"/>
          <w:szCs w:val="24"/>
        </w:rPr>
        <w:t>Valuation:</w:t>
      </w:r>
      <w:r>
        <w:rPr>
          <w:sz w:val="24"/>
          <w:szCs w:val="24"/>
        </w:rPr>
        <w:t xml:space="preserve"> [</w:t>
      </w:r>
      <w:r w:rsidR="00621564">
        <w:rPr>
          <w:sz w:val="24"/>
          <w:szCs w:val="24"/>
        </w:rPr>
        <w:t xml:space="preserve">We’ll briefly describe the results from the </w:t>
      </w:r>
      <w:r w:rsidR="00CE77B2">
        <w:rPr>
          <w:sz w:val="24"/>
          <w:szCs w:val="24"/>
        </w:rPr>
        <w:t xml:space="preserve">NAV, </w:t>
      </w:r>
      <w:r w:rsidR="00621564">
        <w:rPr>
          <w:sz w:val="24"/>
          <w:szCs w:val="24"/>
        </w:rPr>
        <w:t>DCF</w:t>
      </w:r>
      <w:r w:rsidR="00CE77B2">
        <w:rPr>
          <w:sz w:val="24"/>
          <w:szCs w:val="24"/>
        </w:rPr>
        <w:t xml:space="preserve">, </w:t>
      </w:r>
      <w:r w:rsidR="00621564">
        <w:rPr>
          <w:sz w:val="24"/>
          <w:szCs w:val="24"/>
        </w:rPr>
        <w:t>and comparable</w:t>
      </w:r>
      <w:r w:rsidR="00CE77B2">
        <w:rPr>
          <w:sz w:val="24"/>
          <w:szCs w:val="24"/>
        </w:rPr>
        <w:t xml:space="preserve"> companies and transactions</w:t>
      </w:r>
      <w:r w:rsidR="00621564">
        <w:rPr>
          <w:sz w:val="24"/>
          <w:szCs w:val="24"/>
        </w:rPr>
        <w:t>.]</w:t>
      </w:r>
    </w:p>
    <w:p w14:paraId="2839E144" w14:textId="77777777" w:rsidR="00E5029B" w:rsidRPr="006A30C5" w:rsidRDefault="00E5029B" w:rsidP="00E5029B">
      <w:pPr>
        <w:pStyle w:val="ListParagraph"/>
        <w:rPr>
          <w:b/>
          <w:sz w:val="24"/>
          <w:szCs w:val="24"/>
        </w:rPr>
      </w:pPr>
    </w:p>
    <w:p w14:paraId="4F83B33C" w14:textId="77777777" w:rsidR="006A30C5" w:rsidRDefault="006A30C5" w:rsidP="006A30C5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b/>
          <w:sz w:val="24"/>
          <w:szCs w:val="24"/>
        </w:rPr>
        <w:t>Risk Factors:</w:t>
      </w:r>
    </w:p>
    <w:p w14:paraId="0A7FF438" w14:textId="77777777" w:rsidR="00DC18D0" w:rsidRDefault="00DC18D0" w:rsidP="00DC18D0">
      <w:pPr>
        <w:pStyle w:val="ListParagraph"/>
        <w:ind w:left="1440"/>
        <w:rPr>
          <w:sz w:val="24"/>
          <w:szCs w:val="24"/>
        </w:rPr>
      </w:pPr>
    </w:p>
    <w:p w14:paraId="69C8BFA3" w14:textId="1E243603" w:rsidR="00F43923" w:rsidRDefault="00A57D9F" w:rsidP="00F43923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noProof/>
          <w:sz w:val="24"/>
          <w:szCs w:val="24"/>
        </w:rPr>
        <w:t>The potential r</w:t>
      </w:r>
      <w:r w:rsidR="00674AA4" w:rsidRPr="00A57D9F">
        <w:rPr>
          <w:noProof/>
          <w:sz w:val="24"/>
          <w:szCs w:val="24"/>
        </w:rPr>
        <w:t>ecession</w:t>
      </w:r>
      <w:r w:rsidR="00674AA4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a </w:t>
      </w:r>
      <w:r w:rsidR="00674AA4" w:rsidRPr="00A57D9F">
        <w:rPr>
          <w:noProof/>
          <w:sz w:val="24"/>
          <w:szCs w:val="24"/>
        </w:rPr>
        <w:t>coastal</w:t>
      </w:r>
      <w:r w:rsidR="00674AA4">
        <w:rPr>
          <w:sz w:val="24"/>
          <w:szCs w:val="24"/>
        </w:rPr>
        <w:t xml:space="preserve"> multifamily market slowdown in the next 1-2 years (~10% share price impact).</w:t>
      </w:r>
    </w:p>
    <w:p w14:paraId="556CD25D" w14:textId="77777777" w:rsidR="00F43923" w:rsidRDefault="00F43923" w:rsidP="00F43923">
      <w:pPr>
        <w:pStyle w:val="ListParagraph"/>
        <w:ind w:left="1440"/>
        <w:rPr>
          <w:sz w:val="24"/>
          <w:szCs w:val="24"/>
        </w:rPr>
      </w:pPr>
    </w:p>
    <w:p w14:paraId="4ACF272E" w14:textId="3D868BD4" w:rsidR="00F43923" w:rsidRDefault="00674AA4" w:rsidP="00F43923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noProof/>
          <w:sz w:val="24"/>
          <w:szCs w:val="24"/>
        </w:rPr>
        <w:t>Development delays, cost overruns, and lower-than-expected yields (~10% share price impact with 5-year average development time and Downside Case yields).</w:t>
      </w:r>
    </w:p>
    <w:p w14:paraId="081EF10C" w14:textId="77777777" w:rsidR="00F43923" w:rsidRPr="00F43923" w:rsidRDefault="00F43923" w:rsidP="00F43923">
      <w:pPr>
        <w:pStyle w:val="ListParagraph"/>
        <w:rPr>
          <w:sz w:val="24"/>
          <w:szCs w:val="24"/>
        </w:rPr>
      </w:pPr>
    </w:p>
    <w:p w14:paraId="45CBC427" w14:textId="77777777" w:rsidR="00674AA4" w:rsidRDefault="00674AA4" w:rsidP="00674AA4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Lower NOI margins due to rising concessions in certain markets, such as LA (~10% share price impact if NOI margins are 2% below forecast everywhere).</w:t>
      </w:r>
    </w:p>
    <w:p w14:paraId="3530F24C" w14:textId="77777777" w:rsidR="00674AA4" w:rsidRPr="00674AA4" w:rsidRDefault="00674AA4" w:rsidP="00674AA4">
      <w:pPr>
        <w:pStyle w:val="ListParagraph"/>
        <w:rPr>
          <w:sz w:val="24"/>
          <w:szCs w:val="24"/>
        </w:rPr>
      </w:pPr>
    </w:p>
    <w:p w14:paraId="787CD6B5" w14:textId="75DD4C79" w:rsidR="00DC18D0" w:rsidRPr="00674AA4" w:rsidRDefault="00674AA4" w:rsidP="00674AA4">
      <w:pPr>
        <w:pStyle w:val="ListParagraph"/>
        <w:numPr>
          <w:ilvl w:val="1"/>
          <w:numId w:val="40"/>
        </w:numPr>
        <w:rPr>
          <w:sz w:val="24"/>
          <w:szCs w:val="24"/>
        </w:rPr>
      </w:pPr>
      <w:r w:rsidRPr="00674AA4">
        <w:rPr>
          <w:sz w:val="24"/>
          <w:szCs w:val="24"/>
        </w:rPr>
        <w:t>We could mitigate these risks by purchasing put options, longing multifamily REITs in different geographies or that use different strategies, or shorting a broader multifamily/real estate index fund or ETF.</w:t>
      </w:r>
    </w:p>
    <w:p w14:paraId="612D7D25" w14:textId="77777777" w:rsidR="00674AA4" w:rsidRPr="00DC18D0" w:rsidRDefault="00674AA4" w:rsidP="00DC18D0">
      <w:pPr>
        <w:pStyle w:val="ListParagraph"/>
        <w:ind w:left="1440"/>
        <w:rPr>
          <w:sz w:val="24"/>
          <w:szCs w:val="24"/>
        </w:rPr>
      </w:pPr>
    </w:p>
    <w:p w14:paraId="6845DB2F" w14:textId="65E4CF58" w:rsidR="00983E36" w:rsidRDefault="00DC18D0" w:rsidP="00F85CBD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b/>
          <w:sz w:val="24"/>
          <w:szCs w:val="24"/>
        </w:rPr>
        <w:t>Worst-</w:t>
      </w:r>
      <w:r w:rsidR="000B7BA1">
        <w:rPr>
          <w:b/>
          <w:sz w:val="24"/>
          <w:szCs w:val="24"/>
        </w:rPr>
        <w:t>Case Scenario:</w:t>
      </w:r>
      <w:r w:rsidR="000B7BA1">
        <w:rPr>
          <w:sz w:val="24"/>
          <w:szCs w:val="24"/>
        </w:rPr>
        <w:t xml:space="preserve"> </w:t>
      </w:r>
      <w:r w:rsidR="00225E43">
        <w:rPr>
          <w:sz w:val="24"/>
          <w:szCs w:val="24"/>
        </w:rPr>
        <w:t xml:space="preserve">If we get a true “perfect storm” of all </w:t>
      </w:r>
      <w:r w:rsidR="00FA65D8">
        <w:rPr>
          <w:sz w:val="24"/>
          <w:szCs w:val="24"/>
        </w:rPr>
        <w:t xml:space="preserve">these elements </w:t>
      </w:r>
      <w:r w:rsidR="00225E43">
        <w:rPr>
          <w:sz w:val="24"/>
          <w:szCs w:val="24"/>
        </w:rPr>
        <w:t xml:space="preserve">together, the company’s stock price could </w:t>
      </w:r>
      <w:r w:rsidR="00983E36">
        <w:rPr>
          <w:sz w:val="24"/>
          <w:szCs w:val="24"/>
        </w:rPr>
        <w:t xml:space="preserve">potentially </w:t>
      </w:r>
      <w:r w:rsidR="00674AA4">
        <w:rPr>
          <w:sz w:val="24"/>
          <w:szCs w:val="24"/>
        </w:rPr>
        <w:t xml:space="preserve">fall </w:t>
      </w:r>
      <w:r w:rsidR="00983E36">
        <w:rPr>
          <w:sz w:val="24"/>
          <w:szCs w:val="24"/>
        </w:rPr>
        <w:t xml:space="preserve">to </w:t>
      </w:r>
      <w:r w:rsidR="00FA65D8">
        <w:rPr>
          <w:sz w:val="24"/>
          <w:szCs w:val="24"/>
        </w:rPr>
        <w:t>~$</w:t>
      </w:r>
      <w:r w:rsidR="00674AA4">
        <w:rPr>
          <w:sz w:val="24"/>
          <w:szCs w:val="24"/>
        </w:rPr>
        <w:t xml:space="preserve">130 </w:t>
      </w:r>
      <w:r w:rsidR="00983E36">
        <w:rPr>
          <w:sz w:val="24"/>
          <w:szCs w:val="24"/>
        </w:rPr>
        <w:t>within the next year (~</w:t>
      </w:r>
      <w:r w:rsidR="00674AA4">
        <w:rPr>
          <w:sz w:val="24"/>
          <w:szCs w:val="24"/>
        </w:rPr>
        <w:t>20</w:t>
      </w:r>
      <w:r w:rsidR="00983E36">
        <w:rPr>
          <w:sz w:val="24"/>
          <w:szCs w:val="24"/>
        </w:rPr>
        <w:t xml:space="preserve">% loss). But we view that as highly unlikely, and we can hedge against that risk </w:t>
      </w:r>
      <w:r w:rsidR="00B70B46">
        <w:rPr>
          <w:sz w:val="24"/>
          <w:szCs w:val="24"/>
        </w:rPr>
        <w:t xml:space="preserve">with </w:t>
      </w:r>
      <w:r w:rsidR="00983E36">
        <w:rPr>
          <w:sz w:val="24"/>
          <w:szCs w:val="24"/>
        </w:rPr>
        <w:t>the strategies above.</w:t>
      </w:r>
    </w:p>
    <w:sectPr w:rsidR="00983E36" w:rsidSect="00C751C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FA7F6" w14:textId="77777777" w:rsidR="00802412" w:rsidRDefault="00802412" w:rsidP="0056796A">
      <w:pPr>
        <w:spacing w:after="0" w:line="240" w:lineRule="auto"/>
      </w:pPr>
      <w:r>
        <w:separator/>
      </w:r>
    </w:p>
  </w:endnote>
  <w:endnote w:type="continuationSeparator" w:id="0">
    <w:p w14:paraId="0FCE04C3" w14:textId="77777777" w:rsidR="00802412" w:rsidRDefault="00802412" w:rsidP="0056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7BDD4" w14:textId="77777777" w:rsidR="003C626A" w:rsidRDefault="003C626A" w:rsidP="003C626A">
    <w:pPr>
      <w:pStyle w:val="Footer"/>
      <w:tabs>
        <w:tab w:val="clear" w:pos="4680"/>
        <w:tab w:val="center" w:pos="9360"/>
      </w:tabs>
    </w:pPr>
    <w:r w:rsidRPr="004C0209">
      <w:rPr>
        <w:b/>
        <w:bCs/>
        <w:sz w:val="24"/>
        <w:szCs w:val="24"/>
      </w:rPr>
      <w:fldChar w:fldCharType="begin"/>
    </w:r>
    <w:r w:rsidRPr="004C0209">
      <w:rPr>
        <w:b/>
        <w:bCs/>
        <w:sz w:val="24"/>
        <w:szCs w:val="24"/>
      </w:rPr>
      <w:instrText xml:space="preserve"> PAGE </w:instrText>
    </w:r>
    <w:r w:rsidRPr="004C0209">
      <w:rPr>
        <w:b/>
        <w:bCs/>
        <w:sz w:val="24"/>
        <w:szCs w:val="24"/>
      </w:rPr>
      <w:fldChar w:fldCharType="separate"/>
    </w:r>
    <w:r w:rsidR="00555998">
      <w:rPr>
        <w:b/>
        <w:bCs/>
        <w:noProof/>
        <w:sz w:val="24"/>
        <w:szCs w:val="24"/>
      </w:rPr>
      <w:t>1</w:t>
    </w:r>
    <w:r w:rsidRPr="004C0209">
      <w:rPr>
        <w:b/>
        <w:bCs/>
        <w:sz w:val="24"/>
        <w:szCs w:val="24"/>
      </w:rPr>
      <w:fldChar w:fldCharType="end"/>
    </w:r>
    <w:r w:rsidRPr="004C0209">
      <w:rPr>
        <w:sz w:val="24"/>
        <w:szCs w:val="24"/>
      </w:rPr>
      <w:t xml:space="preserve"> of </w:t>
    </w:r>
    <w:r w:rsidRPr="004C0209">
      <w:rPr>
        <w:b/>
        <w:bCs/>
        <w:sz w:val="24"/>
        <w:szCs w:val="24"/>
      </w:rPr>
      <w:fldChar w:fldCharType="begin"/>
    </w:r>
    <w:r w:rsidRPr="004C0209">
      <w:rPr>
        <w:b/>
        <w:bCs/>
        <w:sz w:val="24"/>
        <w:szCs w:val="24"/>
      </w:rPr>
      <w:instrText xml:space="preserve"> NUMPAGES  </w:instrText>
    </w:r>
    <w:r w:rsidRPr="004C0209">
      <w:rPr>
        <w:b/>
        <w:bCs/>
        <w:sz w:val="24"/>
        <w:szCs w:val="24"/>
      </w:rPr>
      <w:fldChar w:fldCharType="separate"/>
    </w:r>
    <w:r w:rsidR="00555998">
      <w:rPr>
        <w:b/>
        <w:bCs/>
        <w:noProof/>
        <w:sz w:val="24"/>
        <w:szCs w:val="24"/>
      </w:rPr>
      <w:t>2</w:t>
    </w:r>
    <w:r w:rsidRPr="004C0209">
      <w:rPr>
        <w:b/>
        <w:bCs/>
        <w:sz w:val="24"/>
        <w:szCs w:val="24"/>
      </w:rPr>
      <w:fldChar w:fldCharType="end"/>
    </w:r>
    <w:r>
      <w:rPr>
        <w:b/>
        <w:bCs/>
        <w:sz w:val="24"/>
        <w:szCs w:val="24"/>
      </w:rPr>
      <w:tab/>
    </w:r>
    <w:r w:rsidRPr="001D5BB4">
      <w:rPr>
        <w:sz w:val="24"/>
        <w:szCs w:val="24"/>
      </w:rPr>
      <w:t>http://breakingintowallstreet.com</w:t>
    </w:r>
  </w:p>
  <w:p w14:paraId="415A5677" w14:textId="77777777" w:rsidR="003A2F31" w:rsidRDefault="003A2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16F5C" w14:textId="77777777" w:rsidR="00802412" w:rsidRDefault="00802412" w:rsidP="0056796A">
      <w:pPr>
        <w:spacing w:after="0" w:line="240" w:lineRule="auto"/>
      </w:pPr>
      <w:r>
        <w:separator/>
      </w:r>
    </w:p>
  </w:footnote>
  <w:footnote w:type="continuationSeparator" w:id="0">
    <w:p w14:paraId="0E0489BC" w14:textId="77777777" w:rsidR="00802412" w:rsidRDefault="00802412" w:rsidP="0056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30" w:type="dxa"/>
      <w:tblInd w:w="108" w:type="dxa"/>
      <w:tblLayout w:type="fixed"/>
      <w:tblLook w:val="04A0" w:firstRow="1" w:lastRow="0" w:firstColumn="1" w:lastColumn="0" w:noHBand="0" w:noVBand="1"/>
    </w:tblPr>
    <w:tblGrid>
      <w:gridCol w:w="3960"/>
      <w:gridCol w:w="4770"/>
    </w:tblGrid>
    <w:tr w:rsidR="003C626A" w:rsidRPr="001D5BB4" w14:paraId="3B34C83D" w14:textId="77777777" w:rsidTr="00AE476F">
      <w:trPr>
        <w:trHeight w:val="1350"/>
      </w:trPr>
      <w:tc>
        <w:tcPr>
          <w:tcW w:w="3960" w:type="dxa"/>
        </w:tcPr>
        <w:p w14:paraId="24444B2F" w14:textId="77777777" w:rsidR="003C626A" w:rsidRPr="0081465A" w:rsidRDefault="003C626A" w:rsidP="003C626A">
          <w:pPr>
            <w:pStyle w:val="Header"/>
            <w:rPr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0242A634" wp14:editId="51EEC2DA">
                <wp:extent cx="1726565" cy="934720"/>
                <wp:effectExtent l="0" t="0" r="6985" b="0"/>
                <wp:docPr id="1" name="Picture 1" descr="biws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ws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6565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0" w:type="dxa"/>
          <w:vAlign w:val="center"/>
        </w:tcPr>
        <w:p w14:paraId="6B0508F0" w14:textId="6657613D" w:rsidR="003C626A" w:rsidRPr="001D5BB4" w:rsidRDefault="00802412" w:rsidP="003C626A">
          <w:pPr>
            <w:pStyle w:val="Header"/>
            <w:jc w:val="right"/>
            <w:rPr>
              <w:sz w:val="24"/>
              <w:szCs w:val="24"/>
            </w:rPr>
          </w:pPr>
          <w:hyperlink r:id="rId2" w:history="1">
            <w:r w:rsidR="00C52B0C">
              <w:rPr>
                <w:rStyle w:val="Hyperlink"/>
                <w:rFonts w:cstheme="minorHAnsi"/>
                <w:sz w:val="24"/>
                <w:szCs w:val="24"/>
              </w:rPr>
              <w:t>Access the Rest of the Real Estate Course</w:t>
            </w:r>
          </w:hyperlink>
        </w:p>
      </w:tc>
    </w:tr>
  </w:tbl>
  <w:p w14:paraId="72F2991C" w14:textId="77777777" w:rsidR="003A2F31" w:rsidRDefault="00CF2CA3">
    <w:pPr>
      <w:pStyle w:val="Header"/>
    </w:pPr>
    <w:r w:rsidRPr="00CF2CA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9F4"/>
    <w:multiLevelType w:val="hybridMultilevel"/>
    <w:tmpl w:val="114A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3657E"/>
    <w:multiLevelType w:val="hybridMultilevel"/>
    <w:tmpl w:val="CD4C6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579C5"/>
    <w:multiLevelType w:val="hybridMultilevel"/>
    <w:tmpl w:val="C3D44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B26B1"/>
    <w:multiLevelType w:val="hybridMultilevel"/>
    <w:tmpl w:val="157A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B6354"/>
    <w:multiLevelType w:val="hybridMultilevel"/>
    <w:tmpl w:val="78281C22"/>
    <w:lvl w:ilvl="0" w:tplc="DF08D7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97F97"/>
    <w:multiLevelType w:val="hybridMultilevel"/>
    <w:tmpl w:val="4C5E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B6B07"/>
    <w:multiLevelType w:val="hybridMultilevel"/>
    <w:tmpl w:val="5458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87D8E"/>
    <w:multiLevelType w:val="hybridMultilevel"/>
    <w:tmpl w:val="71F08504"/>
    <w:lvl w:ilvl="0" w:tplc="B04CE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A769B"/>
    <w:multiLevelType w:val="hybridMultilevel"/>
    <w:tmpl w:val="EA38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F5BEE"/>
    <w:multiLevelType w:val="hybridMultilevel"/>
    <w:tmpl w:val="C474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A35975"/>
    <w:multiLevelType w:val="multilevel"/>
    <w:tmpl w:val="8E9450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17D83"/>
    <w:multiLevelType w:val="hybridMultilevel"/>
    <w:tmpl w:val="C2A60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F2AF9"/>
    <w:multiLevelType w:val="hybridMultilevel"/>
    <w:tmpl w:val="0940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014498"/>
    <w:multiLevelType w:val="hybridMultilevel"/>
    <w:tmpl w:val="64F4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44784"/>
    <w:multiLevelType w:val="hybridMultilevel"/>
    <w:tmpl w:val="9B603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C12F78"/>
    <w:multiLevelType w:val="hybridMultilevel"/>
    <w:tmpl w:val="B090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C4205"/>
    <w:multiLevelType w:val="hybridMultilevel"/>
    <w:tmpl w:val="FBF80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F4340"/>
    <w:multiLevelType w:val="hybridMultilevel"/>
    <w:tmpl w:val="4934D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604B89"/>
    <w:multiLevelType w:val="hybridMultilevel"/>
    <w:tmpl w:val="34E0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2367B1"/>
    <w:multiLevelType w:val="hybridMultilevel"/>
    <w:tmpl w:val="83C8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2D5E3C"/>
    <w:multiLevelType w:val="hybridMultilevel"/>
    <w:tmpl w:val="BEA07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9D09BE"/>
    <w:multiLevelType w:val="hybridMultilevel"/>
    <w:tmpl w:val="D2080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254DE7"/>
    <w:multiLevelType w:val="hybridMultilevel"/>
    <w:tmpl w:val="C6042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0B1624"/>
    <w:multiLevelType w:val="hybridMultilevel"/>
    <w:tmpl w:val="CDB88F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033F9A"/>
    <w:multiLevelType w:val="hybridMultilevel"/>
    <w:tmpl w:val="6DB4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41144D"/>
    <w:multiLevelType w:val="hybridMultilevel"/>
    <w:tmpl w:val="E9748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0B07F6"/>
    <w:multiLevelType w:val="hybridMultilevel"/>
    <w:tmpl w:val="23BE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2D7FA1"/>
    <w:multiLevelType w:val="hybridMultilevel"/>
    <w:tmpl w:val="0DDCE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480EF6"/>
    <w:multiLevelType w:val="hybridMultilevel"/>
    <w:tmpl w:val="5E2AF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861C42"/>
    <w:multiLevelType w:val="hybridMultilevel"/>
    <w:tmpl w:val="C474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07642"/>
    <w:multiLevelType w:val="multilevel"/>
    <w:tmpl w:val="29E0D1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AB76B8"/>
    <w:multiLevelType w:val="hybridMultilevel"/>
    <w:tmpl w:val="8E94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E2441E"/>
    <w:multiLevelType w:val="hybridMultilevel"/>
    <w:tmpl w:val="D4380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0C50CA"/>
    <w:multiLevelType w:val="hybridMultilevel"/>
    <w:tmpl w:val="28CC5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1B21FE"/>
    <w:multiLevelType w:val="hybridMultilevel"/>
    <w:tmpl w:val="937C7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C6809"/>
    <w:multiLevelType w:val="hybridMultilevel"/>
    <w:tmpl w:val="0018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B2E1B"/>
    <w:multiLevelType w:val="hybridMultilevel"/>
    <w:tmpl w:val="09705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54663"/>
    <w:multiLevelType w:val="hybridMultilevel"/>
    <w:tmpl w:val="0712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36765"/>
    <w:multiLevelType w:val="hybridMultilevel"/>
    <w:tmpl w:val="09705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F0AE8"/>
    <w:multiLevelType w:val="hybridMultilevel"/>
    <w:tmpl w:val="E450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D2E91"/>
    <w:multiLevelType w:val="hybridMultilevel"/>
    <w:tmpl w:val="E450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D0776"/>
    <w:multiLevelType w:val="hybridMultilevel"/>
    <w:tmpl w:val="EECC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C5D72"/>
    <w:multiLevelType w:val="hybridMultilevel"/>
    <w:tmpl w:val="3AB8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6710F7"/>
    <w:multiLevelType w:val="hybridMultilevel"/>
    <w:tmpl w:val="29E0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7135C"/>
    <w:multiLevelType w:val="hybridMultilevel"/>
    <w:tmpl w:val="8B8E47D4"/>
    <w:lvl w:ilvl="0" w:tplc="2152B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28"/>
  </w:num>
  <w:num w:numId="4">
    <w:abstractNumId w:val="6"/>
  </w:num>
  <w:num w:numId="5">
    <w:abstractNumId w:val="24"/>
  </w:num>
  <w:num w:numId="6">
    <w:abstractNumId w:val="3"/>
  </w:num>
  <w:num w:numId="7">
    <w:abstractNumId w:val="34"/>
  </w:num>
  <w:num w:numId="8">
    <w:abstractNumId w:val="13"/>
  </w:num>
  <w:num w:numId="9">
    <w:abstractNumId w:val="15"/>
  </w:num>
  <w:num w:numId="10">
    <w:abstractNumId w:val="41"/>
  </w:num>
  <w:num w:numId="11">
    <w:abstractNumId w:val="26"/>
  </w:num>
  <w:num w:numId="12">
    <w:abstractNumId w:val="5"/>
  </w:num>
  <w:num w:numId="13">
    <w:abstractNumId w:val="31"/>
  </w:num>
  <w:num w:numId="14">
    <w:abstractNumId w:val="22"/>
  </w:num>
  <w:num w:numId="15">
    <w:abstractNumId w:val="43"/>
  </w:num>
  <w:num w:numId="16">
    <w:abstractNumId w:val="35"/>
  </w:num>
  <w:num w:numId="17">
    <w:abstractNumId w:val="32"/>
  </w:num>
  <w:num w:numId="18">
    <w:abstractNumId w:val="36"/>
  </w:num>
  <w:num w:numId="19">
    <w:abstractNumId w:val="39"/>
  </w:num>
  <w:num w:numId="20">
    <w:abstractNumId w:val="9"/>
  </w:num>
  <w:num w:numId="21">
    <w:abstractNumId w:val="44"/>
  </w:num>
  <w:num w:numId="22">
    <w:abstractNumId w:val="38"/>
  </w:num>
  <w:num w:numId="23">
    <w:abstractNumId w:val="29"/>
  </w:num>
  <w:num w:numId="24">
    <w:abstractNumId w:val="2"/>
  </w:num>
  <w:num w:numId="25">
    <w:abstractNumId w:val="19"/>
  </w:num>
  <w:num w:numId="26">
    <w:abstractNumId w:val="42"/>
  </w:num>
  <w:num w:numId="27">
    <w:abstractNumId w:val="18"/>
  </w:num>
  <w:num w:numId="28">
    <w:abstractNumId w:val="40"/>
  </w:num>
  <w:num w:numId="29">
    <w:abstractNumId w:val="12"/>
  </w:num>
  <w:num w:numId="30">
    <w:abstractNumId w:val="14"/>
  </w:num>
  <w:num w:numId="31">
    <w:abstractNumId w:val="23"/>
  </w:num>
  <w:num w:numId="32">
    <w:abstractNumId w:val="25"/>
  </w:num>
  <w:num w:numId="33">
    <w:abstractNumId w:val="30"/>
  </w:num>
  <w:num w:numId="34">
    <w:abstractNumId w:val="0"/>
  </w:num>
  <w:num w:numId="35">
    <w:abstractNumId w:val="10"/>
  </w:num>
  <w:num w:numId="36">
    <w:abstractNumId w:val="16"/>
  </w:num>
  <w:num w:numId="37">
    <w:abstractNumId w:val="7"/>
  </w:num>
  <w:num w:numId="38">
    <w:abstractNumId w:val="4"/>
  </w:num>
  <w:num w:numId="39">
    <w:abstractNumId w:val="21"/>
  </w:num>
  <w:num w:numId="40">
    <w:abstractNumId w:val="37"/>
  </w:num>
  <w:num w:numId="41">
    <w:abstractNumId w:val="1"/>
  </w:num>
  <w:num w:numId="42">
    <w:abstractNumId w:val="27"/>
  </w:num>
  <w:num w:numId="43">
    <w:abstractNumId w:val="20"/>
  </w:num>
  <w:num w:numId="44">
    <w:abstractNumId w:val="17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3NjA0tzQ1MzAyMrBU0lEKTi0uzszPAykwqwUAEBFbziwAAAA="/>
  </w:docVars>
  <w:rsids>
    <w:rsidRoot w:val="008634A7"/>
    <w:rsid w:val="00006F25"/>
    <w:rsid w:val="0001389F"/>
    <w:rsid w:val="00015627"/>
    <w:rsid w:val="0002003A"/>
    <w:rsid w:val="000244D0"/>
    <w:rsid w:val="00025AF6"/>
    <w:rsid w:val="000279D5"/>
    <w:rsid w:val="00040C40"/>
    <w:rsid w:val="0005128E"/>
    <w:rsid w:val="000527E4"/>
    <w:rsid w:val="0005584F"/>
    <w:rsid w:val="000564C2"/>
    <w:rsid w:val="00063808"/>
    <w:rsid w:val="000643A0"/>
    <w:rsid w:val="00066C2D"/>
    <w:rsid w:val="00071430"/>
    <w:rsid w:val="00074DCB"/>
    <w:rsid w:val="000779C8"/>
    <w:rsid w:val="00085DB2"/>
    <w:rsid w:val="000867F9"/>
    <w:rsid w:val="000A21F6"/>
    <w:rsid w:val="000B1615"/>
    <w:rsid w:val="000B2518"/>
    <w:rsid w:val="000B375A"/>
    <w:rsid w:val="000B3AFF"/>
    <w:rsid w:val="000B7BA1"/>
    <w:rsid w:val="000C2491"/>
    <w:rsid w:val="000D316B"/>
    <w:rsid w:val="000D46BE"/>
    <w:rsid w:val="000D52A8"/>
    <w:rsid w:val="000D5F1E"/>
    <w:rsid w:val="000E2696"/>
    <w:rsid w:val="000E64E1"/>
    <w:rsid w:val="000E7ACD"/>
    <w:rsid w:val="000F0BA2"/>
    <w:rsid w:val="000F32C4"/>
    <w:rsid w:val="000F3C16"/>
    <w:rsid w:val="00101F9C"/>
    <w:rsid w:val="001024D1"/>
    <w:rsid w:val="001029A9"/>
    <w:rsid w:val="00102CC1"/>
    <w:rsid w:val="00106E0F"/>
    <w:rsid w:val="00117FC6"/>
    <w:rsid w:val="00120DF2"/>
    <w:rsid w:val="001226C2"/>
    <w:rsid w:val="00133B4A"/>
    <w:rsid w:val="00135CF7"/>
    <w:rsid w:val="001362A5"/>
    <w:rsid w:val="0013632C"/>
    <w:rsid w:val="00141684"/>
    <w:rsid w:val="00142897"/>
    <w:rsid w:val="001512B9"/>
    <w:rsid w:val="001638B4"/>
    <w:rsid w:val="001678CE"/>
    <w:rsid w:val="00171B62"/>
    <w:rsid w:val="00171CC2"/>
    <w:rsid w:val="00171EC6"/>
    <w:rsid w:val="00172764"/>
    <w:rsid w:val="00183A64"/>
    <w:rsid w:val="001846B5"/>
    <w:rsid w:val="00190C8F"/>
    <w:rsid w:val="001A463E"/>
    <w:rsid w:val="001B1250"/>
    <w:rsid w:val="001B476B"/>
    <w:rsid w:val="001C0AB8"/>
    <w:rsid w:val="001C662D"/>
    <w:rsid w:val="001D0E4E"/>
    <w:rsid w:val="001D4E6C"/>
    <w:rsid w:val="001D79C4"/>
    <w:rsid w:val="001F0065"/>
    <w:rsid w:val="001F0EE8"/>
    <w:rsid w:val="00224792"/>
    <w:rsid w:val="00225E43"/>
    <w:rsid w:val="0023004F"/>
    <w:rsid w:val="00234446"/>
    <w:rsid w:val="00241C1B"/>
    <w:rsid w:val="00247978"/>
    <w:rsid w:val="002561CA"/>
    <w:rsid w:val="00256730"/>
    <w:rsid w:val="00262614"/>
    <w:rsid w:val="00262D53"/>
    <w:rsid w:val="00263328"/>
    <w:rsid w:val="00275A2F"/>
    <w:rsid w:val="00287185"/>
    <w:rsid w:val="00287989"/>
    <w:rsid w:val="002A53CA"/>
    <w:rsid w:val="002D3B50"/>
    <w:rsid w:val="00305979"/>
    <w:rsid w:val="00310D60"/>
    <w:rsid w:val="00313BDB"/>
    <w:rsid w:val="0031513D"/>
    <w:rsid w:val="00315478"/>
    <w:rsid w:val="003156C9"/>
    <w:rsid w:val="0032309C"/>
    <w:rsid w:val="00325498"/>
    <w:rsid w:val="0032595F"/>
    <w:rsid w:val="0032674E"/>
    <w:rsid w:val="00333430"/>
    <w:rsid w:val="00336D94"/>
    <w:rsid w:val="003377CC"/>
    <w:rsid w:val="003406C0"/>
    <w:rsid w:val="00346DE3"/>
    <w:rsid w:val="00356C4B"/>
    <w:rsid w:val="00360318"/>
    <w:rsid w:val="00364971"/>
    <w:rsid w:val="00371BE5"/>
    <w:rsid w:val="00396F2C"/>
    <w:rsid w:val="003A2F31"/>
    <w:rsid w:val="003A455F"/>
    <w:rsid w:val="003B4FC9"/>
    <w:rsid w:val="003B6831"/>
    <w:rsid w:val="003B7814"/>
    <w:rsid w:val="003C32BF"/>
    <w:rsid w:val="003C4610"/>
    <w:rsid w:val="003C5CA3"/>
    <w:rsid w:val="003C626A"/>
    <w:rsid w:val="003D7C1D"/>
    <w:rsid w:val="003E2E9A"/>
    <w:rsid w:val="003E3CFC"/>
    <w:rsid w:val="003E5B63"/>
    <w:rsid w:val="003E6C02"/>
    <w:rsid w:val="003F0A93"/>
    <w:rsid w:val="003F24BE"/>
    <w:rsid w:val="00420F6A"/>
    <w:rsid w:val="00422E18"/>
    <w:rsid w:val="00423E87"/>
    <w:rsid w:val="00424CE2"/>
    <w:rsid w:val="00425BD3"/>
    <w:rsid w:val="00440EDD"/>
    <w:rsid w:val="004524C6"/>
    <w:rsid w:val="00453C11"/>
    <w:rsid w:val="00453D6F"/>
    <w:rsid w:val="00461D72"/>
    <w:rsid w:val="00476578"/>
    <w:rsid w:val="0048063D"/>
    <w:rsid w:val="0048733A"/>
    <w:rsid w:val="00490E41"/>
    <w:rsid w:val="00497122"/>
    <w:rsid w:val="004A36A9"/>
    <w:rsid w:val="004B123E"/>
    <w:rsid w:val="004B13AA"/>
    <w:rsid w:val="004B67FF"/>
    <w:rsid w:val="004C29A5"/>
    <w:rsid w:val="004D5C25"/>
    <w:rsid w:val="004D7494"/>
    <w:rsid w:val="004E1C43"/>
    <w:rsid w:val="004E7DE5"/>
    <w:rsid w:val="004F67AE"/>
    <w:rsid w:val="004F6C03"/>
    <w:rsid w:val="00516241"/>
    <w:rsid w:val="00523068"/>
    <w:rsid w:val="00525AE5"/>
    <w:rsid w:val="005314FF"/>
    <w:rsid w:val="005339C4"/>
    <w:rsid w:val="0053461E"/>
    <w:rsid w:val="00546466"/>
    <w:rsid w:val="00546E04"/>
    <w:rsid w:val="00555998"/>
    <w:rsid w:val="00556918"/>
    <w:rsid w:val="00564E24"/>
    <w:rsid w:val="005657BC"/>
    <w:rsid w:val="0056796A"/>
    <w:rsid w:val="00572D62"/>
    <w:rsid w:val="00572DC1"/>
    <w:rsid w:val="005807AB"/>
    <w:rsid w:val="0058104E"/>
    <w:rsid w:val="00582762"/>
    <w:rsid w:val="005A0CE5"/>
    <w:rsid w:val="005A2BAE"/>
    <w:rsid w:val="005A3CD7"/>
    <w:rsid w:val="005E5B95"/>
    <w:rsid w:val="005E7480"/>
    <w:rsid w:val="005F7758"/>
    <w:rsid w:val="0061076F"/>
    <w:rsid w:val="00615CCF"/>
    <w:rsid w:val="006214AB"/>
    <w:rsid w:val="00621564"/>
    <w:rsid w:val="00624481"/>
    <w:rsid w:val="00624530"/>
    <w:rsid w:val="00624E93"/>
    <w:rsid w:val="0062727A"/>
    <w:rsid w:val="00627712"/>
    <w:rsid w:val="00637732"/>
    <w:rsid w:val="00637FDB"/>
    <w:rsid w:val="006416D0"/>
    <w:rsid w:val="0064350C"/>
    <w:rsid w:val="00646784"/>
    <w:rsid w:val="00646D78"/>
    <w:rsid w:val="00646EE0"/>
    <w:rsid w:val="00646EE4"/>
    <w:rsid w:val="00650E54"/>
    <w:rsid w:val="00656B43"/>
    <w:rsid w:val="00660ACD"/>
    <w:rsid w:val="0066406F"/>
    <w:rsid w:val="00665C06"/>
    <w:rsid w:val="00674AA4"/>
    <w:rsid w:val="00692D45"/>
    <w:rsid w:val="006A30C5"/>
    <w:rsid w:val="006C7ACA"/>
    <w:rsid w:val="006D006C"/>
    <w:rsid w:val="006D2B51"/>
    <w:rsid w:val="006E2F1A"/>
    <w:rsid w:val="006E5416"/>
    <w:rsid w:val="006F52B7"/>
    <w:rsid w:val="006F6EAA"/>
    <w:rsid w:val="007023DD"/>
    <w:rsid w:val="0071741E"/>
    <w:rsid w:val="007254D4"/>
    <w:rsid w:val="00726CE5"/>
    <w:rsid w:val="00733449"/>
    <w:rsid w:val="00752553"/>
    <w:rsid w:val="00754CE8"/>
    <w:rsid w:val="00773032"/>
    <w:rsid w:val="007735C1"/>
    <w:rsid w:val="00774F89"/>
    <w:rsid w:val="00794A43"/>
    <w:rsid w:val="00795E9F"/>
    <w:rsid w:val="007A02C8"/>
    <w:rsid w:val="007A0D85"/>
    <w:rsid w:val="007A35B7"/>
    <w:rsid w:val="007B3825"/>
    <w:rsid w:val="007C62BA"/>
    <w:rsid w:val="007C700B"/>
    <w:rsid w:val="007D1439"/>
    <w:rsid w:val="007E3F14"/>
    <w:rsid w:val="00802412"/>
    <w:rsid w:val="00804E09"/>
    <w:rsid w:val="0083141C"/>
    <w:rsid w:val="0083788B"/>
    <w:rsid w:val="008451F5"/>
    <w:rsid w:val="00846C5B"/>
    <w:rsid w:val="00851485"/>
    <w:rsid w:val="0085489C"/>
    <w:rsid w:val="00860F8A"/>
    <w:rsid w:val="008634A7"/>
    <w:rsid w:val="008766BA"/>
    <w:rsid w:val="00885695"/>
    <w:rsid w:val="00887312"/>
    <w:rsid w:val="008A2777"/>
    <w:rsid w:val="008B74E2"/>
    <w:rsid w:val="008C14D8"/>
    <w:rsid w:val="008C2653"/>
    <w:rsid w:val="008D2C82"/>
    <w:rsid w:val="008E1D3E"/>
    <w:rsid w:val="008F06AB"/>
    <w:rsid w:val="00911DFD"/>
    <w:rsid w:val="00933650"/>
    <w:rsid w:val="009370F2"/>
    <w:rsid w:val="009403C9"/>
    <w:rsid w:val="0094166B"/>
    <w:rsid w:val="00942F4E"/>
    <w:rsid w:val="00943962"/>
    <w:rsid w:val="00951904"/>
    <w:rsid w:val="009571BD"/>
    <w:rsid w:val="00957B3E"/>
    <w:rsid w:val="00965A69"/>
    <w:rsid w:val="00973256"/>
    <w:rsid w:val="00976350"/>
    <w:rsid w:val="00983E36"/>
    <w:rsid w:val="00984F2C"/>
    <w:rsid w:val="00986A78"/>
    <w:rsid w:val="0099173F"/>
    <w:rsid w:val="009949A9"/>
    <w:rsid w:val="009A1D77"/>
    <w:rsid w:val="009B1155"/>
    <w:rsid w:val="009B522F"/>
    <w:rsid w:val="009D50BC"/>
    <w:rsid w:val="009D57AB"/>
    <w:rsid w:val="009D5F67"/>
    <w:rsid w:val="009D73EF"/>
    <w:rsid w:val="009E05BB"/>
    <w:rsid w:val="009F7673"/>
    <w:rsid w:val="00A014DB"/>
    <w:rsid w:val="00A01DBD"/>
    <w:rsid w:val="00A01EC1"/>
    <w:rsid w:val="00A128AF"/>
    <w:rsid w:val="00A1413F"/>
    <w:rsid w:val="00A22268"/>
    <w:rsid w:val="00A2465D"/>
    <w:rsid w:val="00A33D63"/>
    <w:rsid w:val="00A348E4"/>
    <w:rsid w:val="00A37673"/>
    <w:rsid w:val="00A4216C"/>
    <w:rsid w:val="00A421DF"/>
    <w:rsid w:val="00A42622"/>
    <w:rsid w:val="00A43F7C"/>
    <w:rsid w:val="00A53C3B"/>
    <w:rsid w:val="00A55580"/>
    <w:rsid w:val="00A57AFB"/>
    <w:rsid w:val="00A57D9F"/>
    <w:rsid w:val="00A76255"/>
    <w:rsid w:val="00A77092"/>
    <w:rsid w:val="00A879CF"/>
    <w:rsid w:val="00A90BC5"/>
    <w:rsid w:val="00AA28D5"/>
    <w:rsid w:val="00AB1B91"/>
    <w:rsid w:val="00AB66AB"/>
    <w:rsid w:val="00AD538B"/>
    <w:rsid w:val="00AD6BC1"/>
    <w:rsid w:val="00AE34DE"/>
    <w:rsid w:val="00AE4ECF"/>
    <w:rsid w:val="00AF560E"/>
    <w:rsid w:val="00B0033B"/>
    <w:rsid w:val="00B16B1C"/>
    <w:rsid w:val="00B21304"/>
    <w:rsid w:val="00B4099C"/>
    <w:rsid w:val="00B44381"/>
    <w:rsid w:val="00B443F6"/>
    <w:rsid w:val="00B47E10"/>
    <w:rsid w:val="00B50255"/>
    <w:rsid w:val="00B51435"/>
    <w:rsid w:val="00B53393"/>
    <w:rsid w:val="00B65993"/>
    <w:rsid w:val="00B679A5"/>
    <w:rsid w:val="00B70B46"/>
    <w:rsid w:val="00B73502"/>
    <w:rsid w:val="00B76EB8"/>
    <w:rsid w:val="00B87274"/>
    <w:rsid w:val="00BA2650"/>
    <w:rsid w:val="00BC401B"/>
    <w:rsid w:val="00BC5709"/>
    <w:rsid w:val="00BD0067"/>
    <w:rsid w:val="00BD1807"/>
    <w:rsid w:val="00BE654D"/>
    <w:rsid w:val="00BE6EF1"/>
    <w:rsid w:val="00BF037C"/>
    <w:rsid w:val="00C03A48"/>
    <w:rsid w:val="00C12901"/>
    <w:rsid w:val="00C133DC"/>
    <w:rsid w:val="00C1792A"/>
    <w:rsid w:val="00C2084F"/>
    <w:rsid w:val="00C30F28"/>
    <w:rsid w:val="00C34878"/>
    <w:rsid w:val="00C37A1D"/>
    <w:rsid w:val="00C40996"/>
    <w:rsid w:val="00C52B0C"/>
    <w:rsid w:val="00C56C65"/>
    <w:rsid w:val="00C574C2"/>
    <w:rsid w:val="00C63C97"/>
    <w:rsid w:val="00C751CF"/>
    <w:rsid w:val="00C807FC"/>
    <w:rsid w:val="00C825F1"/>
    <w:rsid w:val="00C9175B"/>
    <w:rsid w:val="00CA6C5A"/>
    <w:rsid w:val="00CC09DB"/>
    <w:rsid w:val="00CD1E8D"/>
    <w:rsid w:val="00CD3327"/>
    <w:rsid w:val="00CD6556"/>
    <w:rsid w:val="00CD678A"/>
    <w:rsid w:val="00CE2821"/>
    <w:rsid w:val="00CE77B2"/>
    <w:rsid w:val="00CF2CA3"/>
    <w:rsid w:val="00D00DDE"/>
    <w:rsid w:val="00D1221F"/>
    <w:rsid w:val="00D16CAA"/>
    <w:rsid w:val="00D2280F"/>
    <w:rsid w:val="00D237DF"/>
    <w:rsid w:val="00D27FFE"/>
    <w:rsid w:val="00D468C1"/>
    <w:rsid w:val="00D46CCA"/>
    <w:rsid w:val="00D6652B"/>
    <w:rsid w:val="00D67A70"/>
    <w:rsid w:val="00D71AD9"/>
    <w:rsid w:val="00D724BB"/>
    <w:rsid w:val="00D76BEE"/>
    <w:rsid w:val="00D80CE2"/>
    <w:rsid w:val="00D83566"/>
    <w:rsid w:val="00D87083"/>
    <w:rsid w:val="00DA6662"/>
    <w:rsid w:val="00DB2775"/>
    <w:rsid w:val="00DB6AF7"/>
    <w:rsid w:val="00DC18D0"/>
    <w:rsid w:val="00DC23E4"/>
    <w:rsid w:val="00DE2726"/>
    <w:rsid w:val="00DE536C"/>
    <w:rsid w:val="00DF0D3E"/>
    <w:rsid w:val="00E14DC4"/>
    <w:rsid w:val="00E16BDD"/>
    <w:rsid w:val="00E22D45"/>
    <w:rsid w:val="00E24E98"/>
    <w:rsid w:val="00E3273F"/>
    <w:rsid w:val="00E424EE"/>
    <w:rsid w:val="00E5029B"/>
    <w:rsid w:val="00E56A12"/>
    <w:rsid w:val="00E667F5"/>
    <w:rsid w:val="00E72F3A"/>
    <w:rsid w:val="00E7420B"/>
    <w:rsid w:val="00E76E8B"/>
    <w:rsid w:val="00E779E9"/>
    <w:rsid w:val="00EC1D3F"/>
    <w:rsid w:val="00EC4A55"/>
    <w:rsid w:val="00ED1FC3"/>
    <w:rsid w:val="00EE05F4"/>
    <w:rsid w:val="00EE741F"/>
    <w:rsid w:val="00EF2FB5"/>
    <w:rsid w:val="00EF4991"/>
    <w:rsid w:val="00F03A19"/>
    <w:rsid w:val="00F10658"/>
    <w:rsid w:val="00F2106C"/>
    <w:rsid w:val="00F24AF6"/>
    <w:rsid w:val="00F266D8"/>
    <w:rsid w:val="00F303AE"/>
    <w:rsid w:val="00F30F8C"/>
    <w:rsid w:val="00F43923"/>
    <w:rsid w:val="00F47736"/>
    <w:rsid w:val="00F52950"/>
    <w:rsid w:val="00F548C6"/>
    <w:rsid w:val="00F62BBC"/>
    <w:rsid w:val="00F71122"/>
    <w:rsid w:val="00F753E6"/>
    <w:rsid w:val="00F81EAE"/>
    <w:rsid w:val="00F83DD2"/>
    <w:rsid w:val="00F85CBD"/>
    <w:rsid w:val="00F86613"/>
    <w:rsid w:val="00F91B98"/>
    <w:rsid w:val="00F92DD8"/>
    <w:rsid w:val="00FA5B4A"/>
    <w:rsid w:val="00FA6143"/>
    <w:rsid w:val="00FA65D8"/>
    <w:rsid w:val="00FB50D2"/>
    <w:rsid w:val="00FC0473"/>
    <w:rsid w:val="00FC0ACF"/>
    <w:rsid w:val="00FC3819"/>
    <w:rsid w:val="00FC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7F792"/>
  <w15:docId w15:val="{26E09591-E21F-462E-BFCD-3CE62394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1CF"/>
  </w:style>
  <w:style w:type="paragraph" w:styleId="Heading1">
    <w:name w:val="heading 1"/>
    <w:basedOn w:val="Normal"/>
    <w:link w:val="Heading1Char"/>
    <w:uiPriority w:val="9"/>
    <w:rsid w:val="00F91B98"/>
    <w:pPr>
      <w:spacing w:beforeLines="1" w:afterLines="1" w:line="240" w:lineRule="auto"/>
      <w:outlineLvl w:val="0"/>
    </w:pPr>
    <w:rPr>
      <w:rFonts w:ascii="Times" w:hAnsi="Times"/>
      <w:b/>
      <w:kern w:val="36"/>
      <w:sz w:val="4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96A"/>
  </w:style>
  <w:style w:type="paragraph" w:styleId="Footer">
    <w:name w:val="footer"/>
    <w:basedOn w:val="Normal"/>
    <w:link w:val="FooterChar"/>
    <w:uiPriority w:val="99"/>
    <w:unhideWhenUsed/>
    <w:rsid w:val="0056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96A"/>
  </w:style>
  <w:style w:type="paragraph" w:styleId="BalloonText">
    <w:name w:val="Balloon Text"/>
    <w:basedOn w:val="Normal"/>
    <w:link w:val="BalloonTextChar"/>
    <w:uiPriority w:val="99"/>
    <w:semiHidden/>
    <w:unhideWhenUsed/>
    <w:rsid w:val="0056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00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290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1B98"/>
    <w:rPr>
      <w:rFonts w:ascii="Times" w:hAnsi="Times"/>
      <w:b/>
      <w:kern w:val="36"/>
      <w:sz w:val="48"/>
      <w:szCs w:val="20"/>
      <w:lang w:val="en-AU"/>
    </w:rPr>
  </w:style>
  <w:style w:type="paragraph" w:styleId="NormalWeb">
    <w:name w:val="Normal (Web)"/>
    <w:basedOn w:val="Normal"/>
    <w:uiPriority w:val="99"/>
    <w:rsid w:val="00F91B98"/>
    <w:pPr>
      <w:spacing w:beforeLines="1" w:afterLines="1" w:line="240" w:lineRule="auto"/>
    </w:pPr>
    <w:rPr>
      <w:rFonts w:ascii="Times" w:hAnsi="Times" w:cs="Times New Roman"/>
      <w:sz w:val="20"/>
      <w:szCs w:val="20"/>
      <w:lang w:val="en-AU"/>
    </w:rPr>
  </w:style>
  <w:style w:type="character" w:styleId="Strong">
    <w:name w:val="Strong"/>
    <w:basedOn w:val="DefaultParagraphFont"/>
    <w:uiPriority w:val="22"/>
    <w:rsid w:val="00F91B98"/>
    <w:rPr>
      <w:b/>
    </w:rPr>
  </w:style>
  <w:style w:type="character" w:customStyle="1" w:styleId="apple-converted-space">
    <w:name w:val="apple-converted-space"/>
    <w:basedOn w:val="DefaultParagraphFont"/>
    <w:rsid w:val="00F91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8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reakingintowallstreet.com/biws/course/re-modelin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REIT Valuation Case Study: AvalonBay [AVB] – Stock Pitch Outline</vt:lpstr>
    </vt:vector>
  </TitlesOfParts>
  <Company>Hewlett-Packard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REIT Valuation Case Study: AvalonBay [AVB] – Stock Pitch Outline</dc:title>
  <dc:subject>REIT Valuation Case Study – AvalonBay – 1 Week or 4 Hours</dc:subject>
  <dc:creator>Administrator</dc:creator>
  <cp:keywords/>
  <dc:description/>
  <cp:lastModifiedBy>BIWS</cp:lastModifiedBy>
  <cp:revision>141</cp:revision>
  <cp:lastPrinted>2018-04-26T09:43:00Z</cp:lastPrinted>
  <dcterms:created xsi:type="dcterms:W3CDTF">2013-11-06T12:19:00Z</dcterms:created>
  <dcterms:modified xsi:type="dcterms:W3CDTF">2018-04-26T09:43:00Z</dcterms:modified>
</cp:coreProperties>
</file>